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65" w:rsidRDefault="002D1F65">
      <w:pPr>
        <w:spacing w:after="0" w:line="240" w:lineRule="auto"/>
      </w:pPr>
    </w:p>
    <w:p w:rsidR="002D1F65" w:rsidRDefault="002D1F65">
      <w:pPr>
        <w:spacing w:after="0" w:line="240" w:lineRule="auto"/>
      </w:pPr>
    </w:p>
    <w:p w:rsidR="00F84553" w:rsidRDefault="00F84553" w:rsidP="00F84553">
      <w:pPr>
        <w:spacing w:after="0" w:line="240" w:lineRule="auto"/>
        <w:rPr>
          <w:rFonts w:asciiTheme="minorHAnsi" w:eastAsiaTheme="minorHAnsi" w:hAnsiTheme="minorHAnsi"/>
          <w:b/>
        </w:rPr>
      </w:pPr>
      <w:r>
        <w:rPr>
          <w:b/>
        </w:rPr>
        <w:t>Информация об условиях договоров ипотечных займов</w:t>
      </w:r>
    </w:p>
    <w:p w:rsidR="00F84553" w:rsidRDefault="00F84553" w:rsidP="00F84553">
      <w:pPr>
        <w:spacing w:after="0" w:line="240" w:lineRule="auto"/>
        <w:rPr>
          <w:b/>
        </w:rPr>
      </w:pPr>
    </w:p>
    <w:p w:rsidR="00F84553" w:rsidRDefault="00F84553" w:rsidP="00F84553">
      <w:pPr>
        <w:spacing w:after="0" w:line="240" w:lineRule="auto"/>
        <w:jc w:val="both"/>
      </w:pPr>
      <w:r>
        <w:rPr>
          <w:b/>
        </w:rPr>
        <w:t>1.</w:t>
      </w:r>
      <w:r>
        <w:t xml:space="preserve"> Сведения о кредиторе:</w:t>
      </w:r>
    </w:p>
    <w:p w:rsidR="00F84553" w:rsidRDefault="00F84553" w:rsidP="00F84553">
      <w:pPr>
        <w:spacing w:after="0" w:line="240" w:lineRule="auto"/>
        <w:jc w:val="both"/>
      </w:pPr>
      <w:r>
        <w:t>АО «</w:t>
      </w:r>
      <w:r w:rsidR="00314E18">
        <w:t>ДВИЦ</w:t>
      </w:r>
      <w:r>
        <w:t xml:space="preserve"> Ипотечный Центр»</w:t>
      </w:r>
    </w:p>
    <w:p w:rsidR="00F84553" w:rsidRDefault="00F84553" w:rsidP="00F84553">
      <w:pPr>
        <w:spacing w:after="0" w:line="240" w:lineRule="auto"/>
        <w:jc w:val="both"/>
      </w:pPr>
      <w:r>
        <w:t xml:space="preserve">Адрес: 121099, г. Москва, 1-й </w:t>
      </w:r>
      <w:proofErr w:type="spellStart"/>
      <w:r>
        <w:t>Николощеповский</w:t>
      </w:r>
      <w:proofErr w:type="spellEnd"/>
      <w:r>
        <w:t xml:space="preserve"> переулок, д. 6, стр. 1</w:t>
      </w:r>
    </w:p>
    <w:p w:rsidR="00F84553" w:rsidRDefault="00F84553" w:rsidP="00F84553">
      <w:pPr>
        <w:spacing w:after="0" w:line="240" w:lineRule="auto"/>
        <w:jc w:val="both"/>
      </w:pPr>
      <w:r>
        <w:t>Телефон: 8-800-707-7-808, 8 (495) 221-81-75</w:t>
      </w:r>
    </w:p>
    <w:p w:rsidR="00F84553" w:rsidRDefault="00F84553" w:rsidP="00F84553">
      <w:pPr>
        <w:spacing w:after="0" w:line="240" w:lineRule="auto"/>
        <w:jc w:val="both"/>
      </w:pPr>
      <w:r>
        <w:t xml:space="preserve">Сайт: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dvic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F84553" w:rsidRDefault="00F84553" w:rsidP="00F84553">
      <w:pPr>
        <w:spacing w:after="0" w:line="240" w:lineRule="auto"/>
        <w:jc w:val="both"/>
      </w:pPr>
      <w:r>
        <w:t>Член саморегулируемой организации Некоммерческое партнерство «Объединение ипотечных компаний». Номер в государственном реестре: 0392</w:t>
      </w:r>
    </w:p>
    <w:p w:rsidR="00F84553" w:rsidRDefault="00F84553" w:rsidP="00F84553">
      <w:pPr>
        <w:spacing w:after="0" w:line="240" w:lineRule="auto"/>
        <w:jc w:val="both"/>
      </w:pPr>
    </w:p>
    <w:p w:rsidR="00F84553" w:rsidRDefault="00F84553" w:rsidP="00F84553">
      <w:pPr>
        <w:spacing w:after="0" w:line="240" w:lineRule="auto"/>
        <w:jc w:val="both"/>
      </w:pPr>
      <w:r>
        <w:rPr>
          <w:b/>
        </w:rPr>
        <w:t xml:space="preserve">2. </w:t>
      </w:r>
      <w:r>
        <w:t>Требования к заемщику:</w:t>
      </w:r>
    </w:p>
    <w:p w:rsidR="00F84553" w:rsidRDefault="00F84553" w:rsidP="00F84553">
      <w:pPr>
        <w:spacing w:after="0" w:line="240" w:lineRule="auto"/>
        <w:jc w:val="both"/>
      </w:pPr>
      <w:r>
        <w:t>2.1. Заемщиком и Залогодателем может выступать только гражданин Российской Федерации.</w:t>
      </w:r>
    </w:p>
    <w:p w:rsidR="00F84553" w:rsidRDefault="00F84553" w:rsidP="00F84553">
      <w:pPr>
        <w:spacing w:after="0" w:line="240" w:lineRule="auto"/>
        <w:jc w:val="both"/>
      </w:pPr>
    </w:p>
    <w:p w:rsidR="00F84553" w:rsidRDefault="00F84553" w:rsidP="00F84553">
      <w:pPr>
        <w:spacing w:after="0" w:line="240" w:lineRule="auto"/>
        <w:jc w:val="both"/>
      </w:pPr>
      <w:r>
        <w:rPr>
          <w:b/>
        </w:rPr>
        <w:t>2.2</w:t>
      </w:r>
      <w:r>
        <w:t>. На момент заключения Договора займа и составления Закладной Заемщик и Залогодатель должны быть зарегистрированы по месту жительства/месту пребывания на территории Российской Федерации.</w:t>
      </w:r>
    </w:p>
    <w:p w:rsidR="00F84553" w:rsidRDefault="00F84553" w:rsidP="00F84553">
      <w:pPr>
        <w:spacing w:after="0" w:line="240" w:lineRule="auto"/>
        <w:jc w:val="both"/>
      </w:pPr>
    </w:p>
    <w:p w:rsidR="00F84553" w:rsidRDefault="00F84553" w:rsidP="00F84553">
      <w:pPr>
        <w:spacing w:after="0" w:line="240" w:lineRule="auto"/>
        <w:jc w:val="both"/>
      </w:pPr>
      <w:r>
        <w:rPr>
          <w:b/>
        </w:rPr>
        <w:t>2.3.</w:t>
      </w:r>
      <w:r>
        <w:t xml:space="preserve"> Возраст Заемщика на момент заключения Договора займа должен составлять не менее 18 лет, и не должен превышать 65 лет на момент окончания срока Ипотечного займа.</w:t>
      </w:r>
    </w:p>
    <w:p w:rsidR="00F84553" w:rsidRDefault="00F84553" w:rsidP="00F84553">
      <w:pPr>
        <w:spacing w:after="0" w:line="240" w:lineRule="auto"/>
        <w:jc w:val="both"/>
      </w:pPr>
    </w:p>
    <w:p w:rsidR="00F84553" w:rsidRDefault="00F84553" w:rsidP="00F84553">
      <w:pPr>
        <w:spacing w:after="0" w:line="240" w:lineRule="auto"/>
        <w:jc w:val="both"/>
      </w:pPr>
      <w:r>
        <w:rPr>
          <w:b/>
        </w:rPr>
        <w:t>2.4.</w:t>
      </w:r>
      <w:r>
        <w:t xml:space="preserve"> Передача в залог Предмета ипотеки, собственником/одним из собственников которого является несовершеннолетний, осуществляется на основании Договора об ипотеке при наличии предварительного разрешения органа опеки и попечительства на передачу в залог Предмета ипотеки.</w:t>
      </w:r>
    </w:p>
    <w:p w:rsidR="00F84553" w:rsidRDefault="00F84553" w:rsidP="00F84553">
      <w:pPr>
        <w:spacing w:after="0" w:line="240" w:lineRule="auto"/>
        <w:jc w:val="both"/>
      </w:pPr>
    </w:p>
    <w:p w:rsidR="00F84553" w:rsidRDefault="00F84553" w:rsidP="00F84553">
      <w:pPr>
        <w:spacing w:after="0" w:line="240" w:lineRule="auto"/>
        <w:jc w:val="both"/>
      </w:pPr>
      <w:r>
        <w:rPr>
          <w:b/>
        </w:rPr>
        <w:t>2.5.</w:t>
      </w:r>
      <w:r>
        <w:t xml:space="preserve"> В качестве Заемщика может выступать лицо мужского пола в возрасте до 27 лет при отсутствии документов, подтверждающих отсрочку от прохождения воинской службы до достижения 27 лет или увольнение с военной службы с зачислением в запас, при условии привлечения дополнительного Заемщика(-</w:t>
      </w:r>
      <w:proofErr w:type="spellStart"/>
      <w:r>
        <w:t>ов</w:t>
      </w:r>
      <w:proofErr w:type="spellEnd"/>
      <w:r>
        <w:t>), не подлежащего призыву на срочную военную службу и имеющего подтвержденный доход, а оценка платежеспособности Заемщиков производится без учета доходов и расходов лица, подлежащего призыву.</w:t>
      </w:r>
    </w:p>
    <w:p w:rsidR="00F84553" w:rsidRDefault="00F84553" w:rsidP="00F84553">
      <w:pPr>
        <w:spacing w:after="0" w:line="240" w:lineRule="auto"/>
        <w:jc w:val="both"/>
      </w:pPr>
    </w:p>
    <w:p w:rsidR="00F84553" w:rsidRDefault="00F84553" w:rsidP="00F84553">
      <w:pPr>
        <w:spacing w:after="0" w:line="240" w:lineRule="auto"/>
        <w:jc w:val="both"/>
      </w:pPr>
      <w:r>
        <w:rPr>
          <w:b/>
        </w:rPr>
        <w:t>2.6.</w:t>
      </w:r>
      <w:r>
        <w:t xml:space="preserve"> Общее количество Заемщиков по одному Договору займа, не может превышать 4 (четырех) человек.</w:t>
      </w:r>
    </w:p>
    <w:p w:rsidR="00F84553" w:rsidRDefault="00F84553" w:rsidP="00F84553">
      <w:pPr>
        <w:spacing w:after="0" w:line="240" w:lineRule="auto"/>
        <w:jc w:val="both"/>
      </w:pPr>
    </w:p>
    <w:p w:rsidR="00F84553" w:rsidRDefault="00F84553" w:rsidP="00F84553">
      <w:pPr>
        <w:spacing w:after="0" w:line="240" w:lineRule="auto"/>
        <w:jc w:val="both"/>
      </w:pPr>
      <w:r>
        <w:rPr>
          <w:b/>
        </w:rPr>
        <w:t>2.7.</w:t>
      </w:r>
      <w:r>
        <w:t xml:space="preserve"> В качестве Заемщика может выступать только лицо, имеющее доход, подтвержденный справко</w:t>
      </w:r>
      <w:r w:rsidR="00314E18">
        <w:t xml:space="preserve">й по форме 2 НДФЛ или по форме </w:t>
      </w:r>
      <w:r>
        <w:t>АО "ДВИЦ".</w:t>
      </w:r>
    </w:p>
    <w:p w:rsidR="00F84553" w:rsidRDefault="00F84553" w:rsidP="00F84553">
      <w:pPr>
        <w:spacing w:after="0" w:line="240" w:lineRule="auto"/>
        <w:jc w:val="both"/>
      </w:pPr>
    </w:p>
    <w:p w:rsidR="00F84553" w:rsidRDefault="00F84553" w:rsidP="00F84553">
      <w:pPr>
        <w:spacing w:after="0" w:line="240" w:lineRule="auto"/>
        <w:jc w:val="both"/>
      </w:pPr>
      <w:r>
        <w:rPr>
          <w:b/>
        </w:rPr>
        <w:t>2.8.</w:t>
      </w:r>
      <w:r>
        <w:t xml:space="preserve"> Если по условиям Ипотечной сделки Заемщик является Залогодателем приобретаемого Предмета ипотеки и состоит в зарегистрированном браке, то его супруг также должен выступать по такой Ипотечной сделке Заемщиком и Залогодателем независимо от того, имеет ли супруг источник дохода и независимо от размера такого дохода.</w:t>
      </w:r>
    </w:p>
    <w:p w:rsidR="00F84553" w:rsidRDefault="00F84553" w:rsidP="00F84553">
      <w:pPr>
        <w:spacing w:after="0" w:line="240" w:lineRule="auto"/>
        <w:jc w:val="both"/>
      </w:pPr>
    </w:p>
    <w:p w:rsidR="00F84553" w:rsidRDefault="00F84553" w:rsidP="00F84553">
      <w:pPr>
        <w:spacing w:after="0" w:line="240" w:lineRule="auto"/>
        <w:jc w:val="both"/>
      </w:pPr>
      <w:r>
        <w:t>В случае если при отсутствии заключенного между супругами брачного договора при условии совершения ипотечной сделки в период брака, один из супругов не указан в Договоре займа в качестве солидарного должника, а также в Договоре об ипотеке или договоре приобретения Предмета ипотеки в качестве собственника (залогодателя), такой супруг должен быть указан, как заемщик и залогодатель в закладной, а также включен в состав солидарных должников по договору займа.</w:t>
      </w:r>
    </w:p>
    <w:p w:rsidR="00F84553" w:rsidRDefault="00F84553" w:rsidP="00F84553">
      <w:pPr>
        <w:spacing w:after="0" w:line="240" w:lineRule="auto"/>
        <w:jc w:val="both"/>
      </w:pPr>
    </w:p>
    <w:p w:rsidR="00F84553" w:rsidRDefault="00F84553" w:rsidP="00F84553">
      <w:pPr>
        <w:spacing w:after="0" w:line="240" w:lineRule="auto"/>
        <w:jc w:val="both"/>
      </w:pPr>
      <w:r>
        <w:t xml:space="preserve">При наличии заключенного брачного договора, по условиям которого установлен режим раздельной собственности в отношении приобретаемого Предмета ипотеки и раздельный режим долгов супругов по Договору займа включение супруга, не являющегося согласно </w:t>
      </w:r>
      <w:proofErr w:type="gramStart"/>
      <w:r>
        <w:t>условиям брачного договора</w:t>
      </w:r>
      <w:proofErr w:type="gramEnd"/>
      <w:r>
        <w:t xml:space="preserve"> собственником Предмета ипотеки и должником по обеспеченному ипотекой обязательству в состав участников Ипотечной сделки в качестве Заемщика и Залогодателя не требуется.</w:t>
      </w:r>
    </w:p>
    <w:p w:rsidR="00F84553" w:rsidRDefault="00F84553" w:rsidP="00F84553">
      <w:pPr>
        <w:spacing w:after="0" w:line="240" w:lineRule="auto"/>
        <w:jc w:val="both"/>
      </w:pPr>
    </w:p>
    <w:p w:rsidR="00F84553" w:rsidRDefault="00F84553" w:rsidP="00F84553">
      <w:pPr>
        <w:spacing w:after="0" w:line="240" w:lineRule="auto"/>
        <w:jc w:val="both"/>
      </w:pPr>
      <w:r>
        <w:rPr>
          <w:b/>
        </w:rPr>
        <w:t>2.9.</w:t>
      </w:r>
      <w:r>
        <w:t xml:space="preserve"> В качестве Заемщика, не имеющего доход, может выступать:</w:t>
      </w:r>
    </w:p>
    <w:p w:rsidR="00F84553" w:rsidRDefault="00F84553" w:rsidP="00F84553">
      <w:pPr>
        <w:spacing w:after="0" w:line="240" w:lineRule="auto"/>
        <w:jc w:val="both"/>
      </w:pPr>
    </w:p>
    <w:p w:rsidR="00F84553" w:rsidRDefault="00F84553" w:rsidP="00F84553">
      <w:pPr>
        <w:spacing w:after="0" w:line="240" w:lineRule="auto"/>
        <w:jc w:val="both"/>
      </w:pPr>
      <w:r>
        <w:rPr>
          <w:b/>
        </w:rPr>
        <w:t>2.9.1.</w:t>
      </w:r>
      <w:r>
        <w:t xml:space="preserve">   Лицо, обучающееся в учебном заведении на очной форме, при условии, что такое лицо является Членом семьи или Взаимозависимым лицом хотя бы одного из Заемщиков, имеющего подтвержденный доход;</w:t>
      </w:r>
    </w:p>
    <w:p w:rsidR="00F84553" w:rsidRDefault="00F84553" w:rsidP="00F84553">
      <w:pPr>
        <w:spacing w:after="0" w:line="240" w:lineRule="auto"/>
        <w:jc w:val="both"/>
      </w:pPr>
    </w:p>
    <w:p w:rsidR="00F84553" w:rsidRDefault="00F84553" w:rsidP="00F84553">
      <w:pPr>
        <w:spacing w:after="0" w:line="240" w:lineRule="auto"/>
        <w:jc w:val="both"/>
      </w:pPr>
      <w:r>
        <w:rPr>
          <w:b/>
        </w:rPr>
        <w:t>2.9.2.</w:t>
      </w:r>
      <w:r>
        <w:t xml:space="preserve">   Лицо мужского пола в возрасте до 27 лет при отсутствии документов, подтверждающих отсрочку от прохождения военной службы до достижения 27 лет или увольнение с военной службы с зачислением в запас, при условии дополнительного Заемщика(-</w:t>
      </w:r>
      <w:proofErr w:type="spellStart"/>
      <w:r>
        <w:t>ов</w:t>
      </w:r>
      <w:proofErr w:type="spellEnd"/>
      <w:r>
        <w:t>), не подлежащего призыву на срочную военную службу и имеющего подтвержденный доход. Оценка платежеспособности Заемщиков производится с учетом доходов и расходов лица, подлежащего призыву. Обязательное условие – дополнительный Заемщик(-и) должен являться Членом семьи или Взаимозависимым лицом.</w:t>
      </w:r>
    </w:p>
    <w:p w:rsidR="00F84553" w:rsidRDefault="00F84553" w:rsidP="00F84553">
      <w:pPr>
        <w:spacing w:after="0" w:line="240" w:lineRule="auto"/>
        <w:jc w:val="both"/>
      </w:pPr>
    </w:p>
    <w:p w:rsidR="00F84553" w:rsidRDefault="00F84553" w:rsidP="00F84553">
      <w:pPr>
        <w:spacing w:after="0" w:line="240" w:lineRule="auto"/>
        <w:jc w:val="both"/>
      </w:pPr>
      <w:r>
        <w:rPr>
          <w:b/>
        </w:rPr>
        <w:t>2.10.</w:t>
      </w:r>
      <w:r>
        <w:t xml:space="preserve"> В качестве Заемщика может выступать лицо, являющееся индивидуальным предпринимателем.</w:t>
      </w:r>
    </w:p>
    <w:p w:rsidR="00F84553" w:rsidRDefault="00F84553" w:rsidP="00F84553">
      <w:pPr>
        <w:spacing w:after="0" w:line="240" w:lineRule="auto"/>
        <w:jc w:val="both"/>
      </w:pPr>
    </w:p>
    <w:p w:rsidR="00F84553" w:rsidRDefault="00F84553" w:rsidP="00F84553">
      <w:pPr>
        <w:spacing w:after="0" w:line="240" w:lineRule="auto"/>
        <w:jc w:val="both"/>
      </w:pPr>
      <w:r>
        <w:rPr>
          <w:b/>
        </w:rPr>
        <w:t>3.</w:t>
      </w:r>
      <w:r>
        <w:t xml:space="preserve"> Сроки рассмотрения, оформленного заемщиком заявления о предоставлении потребительского займа и принятия кредитором решения относительно этого заявления, а также перечень документов, необходимых для рассмотрения заявления, в том числе для оценки кредитоспособности заемщика: до 3 рабочих дней.</w:t>
      </w:r>
    </w:p>
    <w:p w:rsidR="00F84553" w:rsidRDefault="00F84553" w:rsidP="00F84553">
      <w:pPr>
        <w:spacing w:after="0" w:line="240" w:lineRule="auto"/>
        <w:jc w:val="both"/>
      </w:pPr>
    </w:p>
    <w:p w:rsidR="00F84553" w:rsidRDefault="00F84553" w:rsidP="00F84553">
      <w:pPr>
        <w:spacing w:after="0" w:line="240" w:lineRule="auto"/>
        <w:jc w:val="both"/>
      </w:pPr>
      <w:r>
        <w:rPr>
          <w:b/>
        </w:rPr>
        <w:t>4.</w:t>
      </w:r>
      <w:r>
        <w:t xml:space="preserve"> Виды потребительского займа: ипотечный </w:t>
      </w:r>
      <w:proofErr w:type="spellStart"/>
      <w:r>
        <w:t>займ</w:t>
      </w:r>
      <w:proofErr w:type="spellEnd"/>
      <w:r>
        <w:t>.</w:t>
      </w:r>
    </w:p>
    <w:p w:rsidR="00F84553" w:rsidRDefault="00F84553" w:rsidP="00F84553">
      <w:pPr>
        <w:spacing w:after="0" w:line="240" w:lineRule="auto"/>
        <w:jc w:val="both"/>
      </w:pPr>
    </w:p>
    <w:p w:rsidR="00F84553" w:rsidRDefault="00F84553" w:rsidP="00F84553">
      <w:pPr>
        <w:spacing w:after="0" w:line="240" w:lineRule="auto"/>
        <w:jc w:val="both"/>
      </w:pPr>
      <w:r>
        <w:rPr>
          <w:b/>
        </w:rPr>
        <w:t>5.</w:t>
      </w:r>
      <w:r>
        <w:t xml:space="preserve"> Минимальная сумма ипотечного займа – 300 000 руб., максимальная зависит от региона, где приобретается недвижимость. Срок займа от 3 до 30 лет.</w:t>
      </w:r>
    </w:p>
    <w:p w:rsidR="00266F4C" w:rsidRDefault="00266F4C" w:rsidP="00F84553">
      <w:pPr>
        <w:spacing w:after="0" w:line="240" w:lineRule="auto"/>
        <w:jc w:val="both"/>
      </w:pPr>
    </w:p>
    <w:tbl>
      <w:tblPr>
        <w:tblStyle w:val="ad"/>
        <w:tblW w:w="9569" w:type="dxa"/>
        <w:tblLook w:val="04A0" w:firstRow="1" w:lastRow="0" w:firstColumn="1" w:lastColumn="0" w:noHBand="0" w:noVBand="1"/>
      </w:tblPr>
      <w:tblGrid>
        <w:gridCol w:w="2887"/>
        <w:gridCol w:w="1564"/>
        <w:gridCol w:w="1706"/>
        <w:gridCol w:w="1848"/>
        <w:gridCol w:w="1564"/>
      </w:tblGrid>
      <w:tr w:rsidR="00F84553" w:rsidTr="00266F4C">
        <w:trPr>
          <w:trHeight w:val="300"/>
        </w:trPr>
        <w:tc>
          <w:tcPr>
            <w:tcW w:w="9569" w:type="dxa"/>
            <w:gridSpan w:val="5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Максимальные суммы займов</w:t>
            </w:r>
          </w:p>
        </w:tc>
      </w:tr>
      <w:tr w:rsidR="00F84553" w:rsidTr="00266F4C">
        <w:trPr>
          <w:trHeight w:val="300"/>
        </w:trPr>
        <w:tc>
          <w:tcPr>
            <w:tcW w:w="2887" w:type="dxa"/>
            <w:vMerge w:val="restart"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6682" w:type="dxa"/>
            <w:gridSpan w:val="4"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Коэффициент К/З</w:t>
            </w:r>
          </w:p>
        </w:tc>
      </w:tr>
      <w:tr w:rsidR="00F84553" w:rsidTr="00266F4C">
        <w:trPr>
          <w:trHeight w:val="600"/>
        </w:trPr>
        <w:tc>
          <w:tcPr>
            <w:tcW w:w="0" w:type="auto"/>
            <w:vMerge/>
            <w:hideMark/>
          </w:tcPr>
          <w:p w:rsidR="00F84553" w:rsidRDefault="00F84553">
            <w:pPr>
              <w:spacing w:after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До 50 (включит.)</w:t>
            </w:r>
          </w:p>
        </w:tc>
        <w:tc>
          <w:tcPr>
            <w:tcW w:w="1706" w:type="dxa"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От 51 до 60 (включит.)</w:t>
            </w:r>
          </w:p>
        </w:tc>
        <w:tc>
          <w:tcPr>
            <w:tcW w:w="1848" w:type="dxa"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От 61 до 70 (включит.)</w:t>
            </w:r>
          </w:p>
        </w:tc>
        <w:tc>
          <w:tcPr>
            <w:tcW w:w="1564" w:type="dxa"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От 71 до 80 (включит.)</w:t>
            </w:r>
          </w:p>
        </w:tc>
      </w:tr>
      <w:tr w:rsidR="00F84553" w:rsidTr="00266F4C">
        <w:trPr>
          <w:trHeight w:val="300"/>
        </w:trPr>
        <w:tc>
          <w:tcPr>
            <w:tcW w:w="9569" w:type="dxa"/>
            <w:gridSpan w:val="5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   Центральный федеральный округ</w:t>
            </w:r>
          </w:p>
        </w:tc>
      </w:tr>
      <w:tr w:rsidR="00F84553" w:rsidTr="00266F4C">
        <w:trPr>
          <w:trHeight w:val="300"/>
        </w:trPr>
        <w:tc>
          <w:tcPr>
            <w:tcW w:w="2887" w:type="dxa"/>
            <w:hideMark/>
          </w:tcPr>
          <w:p w:rsidR="00F84553" w:rsidRDefault="00F8455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1564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6 400 000</w:t>
            </w:r>
          </w:p>
        </w:tc>
        <w:tc>
          <w:tcPr>
            <w:tcW w:w="1706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5 800 000</w:t>
            </w:r>
          </w:p>
        </w:tc>
        <w:tc>
          <w:tcPr>
            <w:tcW w:w="1848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5 200 000</w:t>
            </w:r>
          </w:p>
        </w:tc>
        <w:tc>
          <w:tcPr>
            <w:tcW w:w="1564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3 600 000</w:t>
            </w:r>
          </w:p>
        </w:tc>
      </w:tr>
      <w:tr w:rsidR="00F84553" w:rsidTr="00266F4C">
        <w:trPr>
          <w:trHeight w:val="300"/>
        </w:trPr>
        <w:tc>
          <w:tcPr>
            <w:tcW w:w="2887" w:type="dxa"/>
            <w:hideMark/>
          </w:tcPr>
          <w:p w:rsidR="00F84553" w:rsidRDefault="00F8455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Брянская область</w:t>
            </w:r>
          </w:p>
        </w:tc>
        <w:tc>
          <w:tcPr>
            <w:tcW w:w="1564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5 200 000</w:t>
            </w:r>
          </w:p>
        </w:tc>
        <w:tc>
          <w:tcPr>
            <w:tcW w:w="1706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4 600 000</w:t>
            </w:r>
          </w:p>
        </w:tc>
        <w:tc>
          <w:tcPr>
            <w:tcW w:w="1848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4 000 000</w:t>
            </w:r>
          </w:p>
        </w:tc>
        <w:tc>
          <w:tcPr>
            <w:tcW w:w="1564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2 700 000</w:t>
            </w:r>
          </w:p>
        </w:tc>
      </w:tr>
      <w:tr w:rsidR="00F84553" w:rsidTr="00266F4C">
        <w:trPr>
          <w:trHeight w:val="300"/>
        </w:trPr>
        <w:tc>
          <w:tcPr>
            <w:tcW w:w="2887" w:type="dxa"/>
            <w:hideMark/>
          </w:tcPr>
          <w:p w:rsidR="00F84553" w:rsidRDefault="00F8455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1564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6 200 000</w:t>
            </w:r>
          </w:p>
        </w:tc>
        <w:tc>
          <w:tcPr>
            <w:tcW w:w="1706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5 600 000</w:t>
            </w:r>
          </w:p>
        </w:tc>
        <w:tc>
          <w:tcPr>
            <w:tcW w:w="1848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5 000 000</w:t>
            </w:r>
          </w:p>
        </w:tc>
        <w:tc>
          <w:tcPr>
            <w:tcW w:w="1564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3 450 000</w:t>
            </w:r>
          </w:p>
        </w:tc>
      </w:tr>
      <w:tr w:rsidR="00F84553" w:rsidTr="00266F4C">
        <w:trPr>
          <w:trHeight w:val="300"/>
        </w:trPr>
        <w:tc>
          <w:tcPr>
            <w:tcW w:w="2887" w:type="dxa"/>
            <w:hideMark/>
          </w:tcPr>
          <w:p w:rsidR="00F84553" w:rsidRDefault="00F8455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1564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5 600 000</w:t>
            </w:r>
          </w:p>
        </w:tc>
        <w:tc>
          <w:tcPr>
            <w:tcW w:w="1706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5 000 000</w:t>
            </w:r>
          </w:p>
        </w:tc>
        <w:tc>
          <w:tcPr>
            <w:tcW w:w="1848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4 400 000</w:t>
            </w:r>
          </w:p>
        </w:tc>
        <w:tc>
          <w:tcPr>
            <w:tcW w:w="1564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3 000 000</w:t>
            </w:r>
          </w:p>
        </w:tc>
      </w:tr>
      <w:tr w:rsidR="00F84553" w:rsidTr="00266F4C">
        <w:trPr>
          <w:trHeight w:val="300"/>
        </w:trPr>
        <w:tc>
          <w:tcPr>
            <w:tcW w:w="2887" w:type="dxa"/>
            <w:hideMark/>
          </w:tcPr>
          <w:p w:rsidR="00F84553" w:rsidRDefault="00F8455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1564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5 400 000</w:t>
            </w:r>
          </w:p>
        </w:tc>
        <w:tc>
          <w:tcPr>
            <w:tcW w:w="1706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4 800 000</w:t>
            </w:r>
          </w:p>
        </w:tc>
        <w:tc>
          <w:tcPr>
            <w:tcW w:w="1848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4 200 000</w:t>
            </w:r>
          </w:p>
        </w:tc>
        <w:tc>
          <w:tcPr>
            <w:tcW w:w="1564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2 850 000</w:t>
            </w:r>
          </w:p>
        </w:tc>
      </w:tr>
      <w:tr w:rsidR="00F84553" w:rsidTr="00266F4C">
        <w:trPr>
          <w:trHeight w:val="300"/>
        </w:trPr>
        <w:tc>
          <w:tcPr>
            <w:tcW w:w="2887" w:type="dxa"/>
            <w:hideMark/>
          </w:tcPr>
          <w:p w:rsidR="00F84553" w:rsidRDefault="00F8455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1564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8 400 000</w:t>
            </w:r>
          </w:p>
        </w:tc>
        <w:tc>
          <w:tcPr>
            <w:tcW w:w="1706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7 600 000</w:t>
            </w:r>
          </w:p>
        </w:tc>
        <w:tc>
          <w:tcPr>
            <w:tcW w:w="1848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6 800 000</w:t>
            </w:r>
          </w:p>
        </w:tc>
        <w:tc>
          <w:tcPr>
            <w:tcW w:w="1564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4 650 000</w:t>
            </w:r>
          </w:p>
        </w:tc>
      </w:tr>
      <w:tr w:rsidR="00F84553" w:rsidTr="00266F4C">
        <w:trPr>
          <w:trHeight w:val="300"/>
        </w:trPr>
        <w:tc>
          <w:tcPr>
            <w:tcW w:w="2887" w:type="dxa"/>
            <w:hideMark/>
          </w:tcPr>
          <w:p w:rsidR="00F84553" w:rsidRDefault="00F8455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Костромская область</w:t>
            </w:r>
          </w:p>
        </w:tc>
        <w:tc>
          <w:tcPr>
            <w:tcW w:w="1564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5 600 000</w:t>
            </w:r>
          </w:p>
        </w:tc>
        <w:tc>
          <w:tcPr>
            <w:tcW w:w="1706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5 000 000</w:t>
            </w:r>
          </w:p>
        </w:tc>
        <w:tc>
          <w:tcPr>
            <w:tcW w:w="1848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4 400 000</w:t>
            </w:r>
          </w:p>
        </w:tc>
        <w:tc>
          <w:tcPr>
            <w:tcW w:w="1564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3 000 000</w:t>
            </w:r>
          </w:p>
        </w:tc>
      </w:tr>
      <w:tr w:rsidR="00F84553" w:rsidTr="00266F4C">
        <w:trPr>
          <w:trHeight w:val="300"/>
        </w:trPr>
        <w:tc>
          <w:tcPr>
            <w:tcW w:w="2887" w:type="dxa"/>
            <w:hideMark/>
          </w:tcPr>
          <w:p w:rsidR="00F84553" w:rsidRDefault="00F8455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1564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4 200 000</w:t>
            </w:r>
          </w:p>
        </w:tc>
        <w:tc>
          <w:tcPr>
            <w:tcW w:w="1706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3 800 000</w:t>
            </w:r>
          </w:p>
        </w:tc>
        <w:tc>
          <w:tcPr>
            <w:tcW w:w="1848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3 400 000</w:t>
            </w:r>
          </w:p>
        </w:tc>
        <w:tc>
          <w:tcPr>
            <w:tcW w:w="1564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2 250 000</w:t>
            </w:r>
          </w:p>
        </w:tc>
      </w:tr>
      <w:tr w:rsidR="00F84553" w:rsidTr="00266F4C">
        <w:trPr>
          <w:trHeight w:val="321"/>
        </w:trPr>
        <w:tc>
          <w:tcPr>
            <w:tcW w:w="2887" w:type="dxa"/>
            <w:hideMark/>
          </w:tcPr>
          <w:p w:rsidR="00F84553" w:rsidRDefault="00F8455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1564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5 600 000</w:t>
            </w:r>
          </w:p>
        </w:tc>
        <w:tc>
          <w:tcPr>
            <w:tcW w:w="1706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5 000 000</w:t>
            </w:r>
          </w:p>
        </w:tc>
        <w:tc>
          <w:tcPr>
            <w:tcW w:w="1848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4 400 000</w:t>
            </w:r>
          </w:p>
        </w:tc>
        <w:tc>
          <w:tcPr>
            <w:tcW w:w="1564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3 000 000</w:t>
            </w:r>
          </w:p>
        </w:tc>
      </w:tr>
      <w:tr w:rsidR="00F84553" w:rsidTr="00266F4C">
        <w:trPr>
          <w:trHeight w:val="300"/>
        </w:trPr>
        <w:tc>
          <w:tcPr>
            <w:tcW w:w="2887" w:type="dxa"/>
            <w:hideMark/>
          </w:tcPr>
          <w:p w:rsidR="00F84553" w:rsidRDefault="00F8455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1564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14 200 000</w:t>
            </w:r>
          </w:p>
        </w:tc>
        <w:tc>
          <w:tcPr>
            <w:tcW w:w="1706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12 800 000</w:t>
            </w:r>
          </w:p>
        </w:tc>
        <w:tc>
          <w:tcPr>
            <w:tcW w:w="1848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11 600 000</w:t>
            </w:r>
          </w:p>
        </w:tc>
        <w:tc>
          <w:tcPr>
            <w:tcW w:w="1564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7 950 000</w:t>
            </w:r>
          </w:p>
        </w:tc>
      </w:tr>
      <w:tr w:rsidR="00F84553" w:rsidTr="00266F4C">
        <w:trPr>
          <w:trHeight w:val="300"/>
        </w:trPr>
        <w:tc>
          <w:tcPr>
            <w:tcW w:w="2887" w:type="dxa"/>
            <w:hideMark/>
          </w:tcPr>
          <w:p w:rsidR="00F84553" w:rsidRDefault="00F8455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1564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4 800 000</w:t>
            </w:r>
          </w:p>
        </w:tc>
        <w:tc>
          <w:tcPr>
            <w:tcW w:w="1706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4 200 000</w:t>
            </w:r>
          </w:p>
        </w:tc>
        <w:tc>
          <w:tcPr>
            <w:tcW w:w="1848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3 800 000</w:t>
            </w:r>
          </w:p>
        </w:tc>
        <w:tc>
          <w:tcPr>
            <w:tcW w:w="1564" w:type="dxa"/>
            <w:noWrap/>
            <w:hideMark/>
          </w:tcPr>
          <w:p w:rsidR="00F84553" w:rsidRDefault="00F8455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2 550 000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vMerge w:val="restart"/>
            <w:vAlign w:val="center"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Регион</w:t>
            </w:r>
          </w:p>
        </w:tc>
        <w:tc>
          <w:tcPr>
            <w:tcW w:w="6682" w:type="dxa"/>
            <w:gridSpan w:val="4"/>
            <w:noWrap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Коэффициент К/З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vMerge/>
          </w:tcPr>
          <w:p w:rsidR="00266F4C" w:rsidRDefault="00266F4C" w:rsidP="00266F4C">
            <w:pPr>
              <w:spacing w:after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noWrap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До 50 (включит.)</w:t>
            </w:r>
          </w:p>
        </w:tc>
        <w:tc>
          <w:tcPr>
            <w:tcW w:w="1706" w:type="dxa"/>
            <w:noWrap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От 51 до 60 (включит.)</w:t>
            </w:r>
          </w:p>
        </w:tc>
        <w:tc>
          <w:tcPr>
            <w:tcW w:w="1848" w:type="dxa"/>
            <w:noWrap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От 61 до 70 (включит.)</w:t>
            </w:r>
          </w:p>
        </w:tc>
        <w:tc>
          <w:tcPr>
            <w:tcW w:w="1564" w:type="dxa"/>
            <w:noWrap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От 71 до 80 (включит.)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5 800 000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5 200 000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4 600 000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3 150 000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6 000 000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5 400 000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4 800 000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3 300 000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4 800 000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4 200 000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3 800 000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2 550 000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6 200 000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5 600 000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5 000 000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3 450 000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Тульская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5 800 000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5 200 000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4 600 000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3 150 000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6 200 000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5 600 000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5 000 000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3 450 000</w:t>
            </w:r>
          </w:p>
        </w:tc>
      </w:tr>
      <w:tr w:rsidR="00266F4C" w:rsidTr="00266F4C">
        <w:trPr>
          <w:trHeight w:val="381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20 000 000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18 000 000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16 000 000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10 950 000</w:t>
            </w:r>
          </w:p>
        </w:tc>
      </w:tr>
      <w:tr w:rsidR="00266F4C" w:rsidTr="00266F4C">
        <w:trPr>
          <w:trHeight w:val="300"/>
        </w:trPr>
        <w:tc>
          <w:tcPr>
            <w:tcW w:w="9569" w:type="dxa"/>
            <w:gridSpan w:val="5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   Северо-Западный федеральный округ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Республика Карелия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6 200 000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5 600 000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5 000 000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3 450 000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7 800 000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7 000 000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6 200 000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4 200 000</w:t>
            </w:r>
          </w:p>
        </w:tc>
      </w:tr>
      <w:tr w:rsidR="00266F4C" w:rsidTr="00266F4C">
        <w:trPr>
          <w:trHeight w:val="911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Архангельская область, в том числе Ненецкий автономный округ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6 400 000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5 800 000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5 200 000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3 600 000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5 400 000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4 800 000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4 200 000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2 850 000</w:t>
            </w:r>
          </w:p>
        </w:tc>
      </w:tr>
      <w:tr w:rsidR="00266F4C" w:rsidTr="00266F4C">
        <w:trPr>
          <w:trHeight w:val="39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6 000 000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5 400 000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4 800 000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3 300 000</w:t>
            </w:r>
          </w:p>
        </w:tc>
      </w:tr>
      <w:tr w:rsidR="00266F4C" w:rsidTr="00266F4C">
        <w:trPr>
          <w:trHeight w:val="268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7 800 000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7 000 000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6 200 000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4 200 000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5 200 000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4 600 000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4 000 000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2 700 000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Новгородская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5 800 000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5 200 000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4 600 000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3 150 000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5 400 000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4 800 000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4 200 000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2 850 000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11 400 000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10 200 000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9 200 000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6 300 000</w:t>
            </w:r>
          </w:p>
        </w:tc>
      </w:tr>
      <w:tr w:rsidR="00266F4C" w:rsidTr="00266F4C">
        <w:trPr>
          <w:trHeight w:val="300"/>
        </w:trPr>
        <w:tc>
          <w:tcPr>
            <w:tcW w:w="9569" w:type="dxa"/>
            <w:gridSpan w:val="5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   Южный федеральный округ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4 200 000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3 800 000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3 400 000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2 250 000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4 200 000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3 800 000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3 400 000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2 250 000</w:t>
            </w:r>
          </w:p>
        </w:tc>
      </w:tr>
      <w:tr w:rsidR="00266F4C" w:rsidTr="00266F4C">
        <w:trPr>
          <w:trHeight w:val="657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Краснодарский край (за исключением г. Сочи)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6 000 000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5 400 000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4 800 000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3 300 000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г. Сочи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12 200 000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11 000 000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9 800 000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6 600 000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4 800 000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4 200 000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3 800 000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2 550 000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6 000 000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5 400 000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4 800 000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3 300 000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7 800 000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7 000 000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6 200 000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4 200 000</w:t>
            </w:r>
          </w:p>
        </w:tc>
      </w:tr>
      <w:tr w:rsidR="00266F4C" w:rsidTr="00266F4C">
        <w:trPr>
          <w:trHeight w:val="300"/>
        </w:trPr>
        <w:tc>
          <w:tcPr>
            <w:tcW w:w="9569" w:type="dxa"/>
            <w:gridSpan w:val="5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   Приволжский федеральный округ</w:t>
            </w:r>
          </w:p>
        </w:tc>
      </w:tr>
      <w:tr w:rsidR="00266F4C" w:rsidTr="00266F4C">
        <w:trPr>
          <w:trHeight w:val="278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7 000 000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6 200 000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5 600 000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3 750 000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5 400 000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4 800 000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4 200 000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2 850 000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5 400 000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4 800 000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4 200 000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2 850 000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7 000 000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6 200 000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5 600 000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3 750 000</w:t>
            </w:r>
          </w:p>
        </w:tc>
      </w:tr>
      <w:tr w:rsidR="00266F4C" w:rsidTr="00266F4C">
        <w:trPr>
          <w:trHeight w:val="337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5 600 000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5 000 000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4 400 000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3 000 000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5 600 000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5 000 000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4 400 000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3 000 000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6 200 000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5 600 000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5 000 000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3 450 000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5 200 000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4 600 000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4 000 000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2 700 000</w:t>
            </w:r>
          </w:p>
        </w:tc>
      </w:tr>
      <w:tr w:rsidR="00266F4C" w:rsidTr="00266F4C">
        <w:trPr>
          <w:trHeight w:val="341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6 400 000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5 800 000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5 200 000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3 600 000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5 600 000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5 000 000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4 400 000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3 000 000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5 400 000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4 800 000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4 200 000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2 850 000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6 000 000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5 400 000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4 800 000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3 300 000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4 200 000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3 800 000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3 400 000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2 250 000</w:t>
            </w:r>
          </w:p>
        </w:tc>
      </w:tr>
      <w:tr w:rsidR="00266F4C" w:rsidTr="00ED32FF">
        <w:trPr>
          <w:trHeight w:val="300"/>
        </w:trPr>
        <w:tc>
          <w:tcPr>
            <w:tcW w:w="2887" w:type="dxa"/>
            <w:vMerge w:val="restart"/>
            <w:vAlign w:val="center"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Регион</w:t>
            </w:r>
          </w:p>
        </w:tc>
        <w:tc>
          <w:tcPr>
            <w:tcW w:w="6682" w:type="dxa"/>
            <w:gridSpan w:val="4"/>
            <w:noWrap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Коэффициент К/З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vMerge/>
          </w:tcPr>
          <w:p w:rsidR="00266F4C" w:rsidRDefault="00266F4C" w:rsidP="00266F4C">
            <w:pPr>
              <w:spacing w:after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noWrap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До 50 (включит.)</w:t>
            </w:r>
          </w:p>
        </w:tc>
        <w:tc>
          <w:tcPr>
            <w:tcW w:w="1706" w:type="dxa"/>
            <w:noWrap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От 51 до 60 (включит.)</w:t>
            </w:r>
          </w:p>
        </w:tc>
        <w:tc>
          <w:tcPr>
            <w:tcW w:w="1848" w:type="dxa"/>
            <w:noWrap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От 61 до 70 (включит.)</w:t>
            </w:r>
          </w:p>
        </w:tc>
        <w:tc>
          <w:tcPr>
            <w:tcW w:w="1564" w:type="dxa"/>
            <w:noWrap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От 71 до 80 (включит.)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5 200 000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4 600 000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4 000 000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2 700 000</w:t>
            </w:r>
          </w:p>
        </w:tc>
      </w:tr>
      <w:tr w:rsidR="00266F4C" w:rsidTr="00266F4C">
        <w:trPr>
          <w:trHeight w:val="300"/>
        </w:trPr>
        <w:tc>
          <w:tcPr>
            <w:tcW w:w="9569" w:type="dxa"/>
            <w:gridSpan w:val="5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    Уральский федеральный округ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5 200 000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4 600 000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4 000 000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2 700 000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8 200 000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7 400 000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6 600 000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4 500 000</w:t>
            </w:r>
          </w:p>
        </w:tc>
      </w:tr>
      <w:tr w:rsidR="00266F4C" w:rsidTr="00266F4C">
        <w:trPr>
          <w:trHeight w:val="1705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Тюменская область (за исключением Ханты-Мансийского автономного округа – Югра и Ямало-Ненецкого автономного округа)</w:t>
            </w:r>
          </w:p>
        </w:tc>
        <w:tc>
          <w:tcPr>
            <w:tcW w:w="1564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6 200 000</w:t>
            </w:r>
          </w:p>
        </w:tc>
        <w:tc>
          <w:tcPr>
            <w:tcW w:w="1706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5 600 000</w:t>
            </w:r>
          </w:p>
        </w:tc>
        <w:tc>
          <w:tcPr>
            <w:tcW w:w="1848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5 000 000</w:t>
            </w:r>
          </w:p>
        </w:tc>
        <w:tc>
          <w:tcPr>
            <w:tcW w:w="1564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3 450 000</w:t>
            </w:r>
          </w:p>
        </w:tc>
      </w:tr>
      <w:tr w:rsidR="00266F4C" w:rsidTr="00266F4C">
        <w:trPr>
          <w:trHeight w:val="567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1564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10 000 000</w:t>
            </w:r>
          </w:p>
        </w:tc>
        <w:tc>
          <w:tcPr>
            <w:tcW w:w="1706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9 000 000</w:t>
            </w:r>
          </w:p>
        </w:tc>
        <w:tc>
          <w:tcPr>
            <w:tcW w:w="1848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8 000 000</w:t>
            </w:r>
          </w:p>
        </w:tc>
        <w:tc>
          <w:tcPr>
            <w:tcW w:w="1564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5 400 000</w:t>
            </w:r>
          </w:p>
        </w:tc>
      </w:tr>
      <w:tr w:rsidR="00266F4C" w:rsidTr="00266F4C">
        <w:trPr>
          <w:trHeight w:val="6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Ямало-Ненецкий автономный округ</w:t>
            </w:r>
          </w:p>
        </w:tc>
        <w:tc>
          <w:tcPr>
            <w:tcW w:w="1564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7 800 000</w:t>
            </w:r>
          </w:p>
        </w:tc>
        <w:tc>
          <w:tcPr>
            <w:tcW w:w="1706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7 000 000</w:t>
            </w:r>
          </w:p>
        </w:tc>
        <w:tc>
          <w:tcPr>
            <w:tcW w:w="1848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6 200 000</w:t>
            </w:r>
          </w:p>
        </w:tc>
        <w:tc>
          <w:tcPr>
            <w:tcW w:w="1564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4 200 000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5 400 000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4 800 000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4 200 000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2 850 000</w:t>
            </w:r>
          </w:p>
        </w:tc>
      </w:tr>
      <w:tr w:rsidR="00266F4C" w:rsidTr="00266F4C">
        <w:trPr>
          <w:trHeight w:val="300"/>
        </w:trPr>
        <w:tc>
          <w:tcPr>
            <w:tcW w:w="9569" w:type="dxa"/>
            <w:gridSpan w:val="5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Сибирский федеральный округ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5 600 000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5 000 000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4 400 000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3 000 000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5 400 000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4 800 000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4 200 000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2 850 000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Республика Тыва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6 200 000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5 600 000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5 000 000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3 450 000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5 800 000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5 200 000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4 600 000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3 150 000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5 400 000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4 800 000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4 200 000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2 850 000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5 600 000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5 000 000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4 400 000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3 000 000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6 400 000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5 800 000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5 200 000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3 600 000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7 000 000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6 200 000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5 600 000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3 750 000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5 800 000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5 200 000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4 600 000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3 150 000</w:t>
            </w:r>
          </w:p>
        </w:tc>
      </w:tr>
      <w:tr w:rsidR="00266F4C" w:rsidTr="00266F4C">
        <w:trPr>
          <w:trHeight w:val="319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6 200 000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5 600 000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5 000 000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3 450 000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5 200 000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4 600 000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4 000 000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2 700 000</w:t>
            </w:r>
          </w:p>
        </w:tc>
      </w:tr>
      <w:tr w:rsidR="00266F4C" w:rsidTr="00266F4C">
        <w:trPr>
          <w:trHeight w:val="372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Томская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6 000 000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5 400 000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4 800 000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3 300 000</w:t>
            </w:r>
          </w:p>
        </w:tc>
      </w:tr>
      <w:tr w:rsidR="00266F4C" w:rsidTr="00266F4C">
        <w:trPr>
          <w:trHeight w:val="300"/>
        </w:trPr>
        <w:tc>
          <w:tcPr>
            <w:tcW w:w="9569" w:type="dxa"/>
            <w:gridSpan w:val="5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   Дальневосточный федеральный округ</w:t>
            </w:r>
          </w:p>
        </w:tc>
      </w:tr>
      <w:tr w:rsidR="00266F4C" w:rsidTr="00266F4C">
        <w:trPr>
          <w:trHeight w:val="339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8 200 000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7 400 000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6 600 000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4 500 000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6 400 000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5 800 000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5 200 000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3 600 000</w:t>
            </w:r>
          </w:p>
        </w:tc>
      </w:tr>
      <w:tr w:rsidR="00266F4C" w:rsidTr="00266F4C">
        <w:trPr>
          <w:trHeight w:val="9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Приморский край (за исключением г. Владивостока)</w:t>
            </w:r>
          </w:p>
        </w:tc>
        <w:tc>
          <w:tcPr>
            <w:tcW w:w="1564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6 200 000</w:t>
            </w:r>
          </w:p>
        </w:tc>
        <w:tc>
          <w:tcPr>
            <w:tcW w:w="1706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5 600 000</w:t>
            </w:r>
          </w:p>
        </w:tc>
        <w:tc>
          <w:tcPr>
            <w:tcW w:w="1848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5 000 000</w:t>
            </w:r>
          </w:p>
        </w:tc>
        <w:tc>
          <w:tcPr>
            <w:tcW w:w="1564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3 450 000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г. Владивосток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10 000 000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9 000 000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8 000 000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5 400 000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8 200 000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7 400 000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6 600 000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4 500 000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8 400 000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7 600 000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6 800 000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4 650 000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5 200 000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4 600 000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4 000 000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2 700 000</w:t>
            </w:r>
          </w:p>
        </w:tc>
      </w:tr>
      <w:tr w:rsidR="00266F4C" w:rsidTr="00266F4C">
        <w:trPr>
          <w:trHeight w:val="3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8 400 000</w:t>
            </w:r>
          </w:p>
        </w:tc>
        <w:tc>
          <w:tcPr>
            <w:tcW w:w="1706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7 600 000</w:t>
            </w:r>
          </w:p>
        </w:tc>
        <w:tc>
          <w:tcPr>
            <w:tcW w:w="1848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6 800 000</w:t>
            </w:r>
          </w:p>
        </w:tc>
        <w:tc>
          <w:tcPr>
            <w:tcW w:w="1564" w:type="dxa"/>
            <w:noWrap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4 650 000</w:t>
            </w:r>
          </w:p>
        </w:tc>
      </w:tr>
      <w:tr w:rsidR="00266F4C" w:rsidTr="00266F4C">
        <w:trPr>
          <w:trHeight w:val="6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564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5 200 000</w:t>
            </w:r>
          </w:p>
        </w:tc>
        <w:tc>
          <w:tcPr>
            <w:tcW w:w="1706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4 600 000</w:t>
            </w:r>
          </w:p>
        </w:tc>
        <w:tc>
          <w:tcPr>
            <w:tcW w:w="1848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4 000 000</w:t>
            </w:r>
          </w:p>
        </w:tc>
        <w:tc>
          <w:tcPr>
            <w:tcW w:w="1564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2 700 000</w:t>
            </w:r>
          </w:p>
        </w:tc>
      </w:tr>
      <w:tr w:rsidR="00266F4C" w:rsidTr="00266F4C">
        <w:trPr>
          <w:trHeight w:val="600"/>
        </w:trPr>
        <w:tc>
          <w:tcPr>
            <w:tcW w:w="2887" w:type="dxa"/>
            <w:hideMark/>
          </w:tcPr>
          <w:p w:rsidR="00266F4C" w:rsidRDefault="00266F4C" w:rsidP="00266F4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564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5 200 000</w:t>
            </w:r>
          </w:p>
        </w:tc>
        <w:tc>
          <w:tcPr>
            <w:tcW w:w="1706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4 600 000</w:t>
            </w:r>
          </w:p>
        </w:tc>
        <w:tc>
          <w:tcPr>
            <w:tcW w:w="1848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4 000 000</w:t>
            </w:r>
          </w:p>
        </w:tc>
        <w:tc>
          <w:tcPr>
            <w:tcW w:w="1564" w:type="dxa"/>
            <w:noWrap/>
            <w:vAlign w:val="center"/>
            <w:hideMark/>
          </w:tcPr>
          <w:p w:rsidR="00266F4C" w:rsidRDefault="00266F4C" w:rsidP="00266F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2 700 000</w:t>
            </w:r>
          </w:p>
        </w:tc>
      </w:tr>
    </w:tbl>
    <w:p w:rsidR="00F84553" w:rsidRDefault="00F84553" w:rsidP="00F84553">
      <w:pPr>
        <w:spacing w:after="0" w:line="240" w:lineRule="auto"/>
        <w:rPr>
          <w:rFonts w:asciiTheme="minorHAnsi" w:eastAsiaTheme="minorHAnsi" w:hAnsiTheme="minorHAnsi"/>
        </w:rPr>
      </w:pPr>
    </w:p>
    <w:p w:rsidR="00F84553" w:rsidRDefault="00F84553" w:rsidP="00F84553">
      <w:pPr>
        <w:spacing w:after="0" w:line="240" w:lineRule="auto"/>
      </w:pPr>
      <w:r>
        <w:rPr>
          <w:b/>
        </w:rPr>
        <w:lastRenderedPageBreak/>
        <w:t>6.</w:t>
      </w:r>
      <w:r>
        <w:t xml:space="preserve"> Валюты, в которых предоставляется потребительский заем: рубли РФ.</w:t>
      </w:r>
    </w:p>
    <w:p w:rsidR="00F84553" w:rsidRDefault="00F84553" w:rsidP="00F84553">
      <w:pPr>
        <w:spacing w:after="0" w:line="240" w:lineRule="auto"/>
      </w:pPr>
    </w:p>
    <w:p w:rsidR="00F84553" w:rsidRDefault="00F84553" w:rsidP="00F84553">
      <w:pPr>
        <w:spacing w:after="0" w:line="240" w:lineRule="auto"/>
      </w:pPr>
      <w:r>
        <w:rPr>
          <w:b/>
        </w:rPr>
        <w:t>7.</w:t>
      </w:r>
      <w:r>
        <w:t xml:space="preserve"> Способы предоставления потребительского займа, в том числе с использованием заемщиком электронных средств платежа: заем предоставляется ЗАЕМЩИКУ по заявлению в безналичной форме путем перечисления всей суммы займа </w:t>
      </w:r>
      <w:proofErr w:type="gramStart"/>
      <w:r>
        <w:t>на банковский счет</w:t>
      </w:r>
      <w:proofErr w:type="gramEnd"/>
      <w:r>
        <w:t xml:space="preserve"> открытый на имя ЗАЕМЩИКА.</w:t>
      </w:r>
    </w:p>
    <w:p w:rsidR="00F84553" w:rsidRDefault="00F84553" w:rsidP="00F84553">
      <w:pPr>
        <w:spacing w:after="0" w:line="240" w:lineRule="auto"/>
      </w:pPr>
    </w:p>
    <w:p w:rsidR="00F84553" w:rsidRDefault="00F84553" w:rsidP="00F84553">
      <w:pPr>
        <w:spacing w:after="0" w:line="240" w:lineRule="auto"/>
      </w:pPr>
      <w:r>
        <w:t>8. Процентные ставки в процентах годовых:</w:t>
      </w:r>
    </w:p>
    <w:p w:rsidR="00F84553" w:rsidRDefault="00F84553" w:rsidP="00F84553">
      <w:pPr>
        <w:spacing w:after="0" w:line="240" w:lineRule="auto"/>
      </w:pPr>
    </w:p>
    <w:p w:rsidR="00F84553" w:rsidRDefault="00F84553" w:rsidP="00F84553">
      <w:pPr>
        <w:spacing w:after="80" w:line="240" w:lineRule="auto"/>
        <w:rPr>
          <w:b/>
        </w:rPr>
      </w:pPr>
      <w:r>
        <w:rPr>
          <w:b/>
        </w:rPr>
        <w:t>Процентные ставки по программе Стандарт:</w:t>
      </w:r>
    </w:p>
    <w:tbl>
      <w:tblPr>
        <w:tblStyle w:val="-56"/>
        <w:tblW w:w="0" w:type="auto"/>
        <w:tblInd w:w="0" w:type="dxa"/>
        <w:tblLook w:val="04A0" w:firstRow="1" w:lastRow="0" w:firstColumn="1" w:lastColumn="0" w:noHBand="0" w:noVBand="1"/>
      </w:tblPr>
      <w:tblGrid>
        <w:gridCol w:w="1879"/>
        <w:gridCol w:w="1492"/>
        <w:gridCol w:w="1492"/>
        <w:gridCol w:w="1494"/>
        <w:gridCol w:w="1494"/>
        <w:gridCol w:w="1494"/>
      </w:tblGrid>
      <w:tr w:rsidR="00F84553" w:rsidTr="00F84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Merge w:val="restart"/>
            <w:tcBorders>
              <w:bottom w:val="single" w:sz="4" w:space="0" w:color="FFFFFF" w:themeColor="background1"/>
            </w:tcBorders>
          </w:tcPr>
          <w:p w:rsidR="00F84553" w:rsidRDefault="00F84553">
            <w:pPr>
              <w:spacing w:after="0" w:line="240" w:lineRule="auto"/>
              <w:jc w:val="center"/>
              <w:rPr>
                <w:rFonts w:cstheme="minorBidi"/>
              </w:rPr>
            </w:pPr>
          </w:p>
          <w:p w:rsidR="00F84553" w:rsidRDefault="00F84553">
            <w:pPr>
              <w:spacing w:after="0" w:line="240" w:lineRule="auto"/>
              <w:jc w:val="center"/>
            </w:pPr>
            <w:r>
              <w:t xml:space="preserve">Первоначальный </w:t>
            </w:r>
            <w:r>
              <w:br/>
            </w:r>
            <w:proofErr w:type="gramStart"/>
            <w:r>
              <w:t>взнос</w:t>
            </w:r>
            <w:r>
              <w:br/>
              <w:t>(</w:t>
            </w:r>
            <w:proofErr w:type="gramEnd"/>
            <w:r>
              <w:t>% от стоимости</w:t>
            </w:r>
            <w:r>
              <w:br/>
              <w:t>недвижимости)</w:t>
            </w:r>
          </w:p>
        </w:tc>
        <w:tc>
          <w:tcPr>
            <w:tcW w:w="7788" w:type="dxa"/>
            <w:gridSpan w:val="5"/>
            <w:tcBorders>
              <w:bottom w:val="single" w:sz="4" w:space="0" w:color="FFFFFF" w:themeColor="background1"/>
            </w:tcBorders>
          </w:tcPr>
          <w:p w:rsidR="00F84553" w:rsidRDefault="00F845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84553" w:rsidRDefault="00F845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Срок ипотечного займа / процентные ставки (% годовых)</w:t>
            </w:r>
          </w:p>
          <w:p w:rsidR="00F84553" w:rsidRDefault="00F845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553" w:rsidTr="00F84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F84553" w:rsidRDefault="00F84553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До 5 лет</w:t>
            </w: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 – 10 лет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 – 15 лет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16 – 20 лет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21 – 30 лет</w:t>
            </w:r>
          </w:p>
        </w:tc>
      </w:tr>
      <w:tr w:rsidR="00F84553" w:rsidTr="00F84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>
            <w:pPr>
              <w:spacing w:after="0" w:line="240" w:lineRule="auto"/>
              <w:jc w:val="center"/>
            </w:pPr>
            <w:r>
              <w:t xml:space="preserve">50 – 90 </w:t>
            </w:r>
          </w:p>
        </w:tc>
        <w:tc>
          <w:tcPr>
            <w:tcW w:w="778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 w:rsidP="00BC73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BC7331">
              <w:t>4</w:t>
            </w:r>
            <w:r>
              <w:t>,</w:t>
            </w:r>
            <w:r w:rsidR="00266F4C">
              <w:t>7</w:t>
            </w:r>
            <w:r>
              <w:t>5</w:t>
            </w:r>
          </w:p>
        </w:tc>
      </w:tr>
      <w:tr w:rsidR="00F84553" w:rsidTr="00F84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>
            <w:pPr>
              <w:spacing w:after="0" w:line="240" w:lineRule="auto"/>
              <w:jc w:val="center"/>
            </w:pPr>
            <w:r>
              <w:t xml:space="preserve">40 – 49 </w:t>
            </w:r>
          </w:p>
        </w:tc>
        <w:tc>
          <w:tcPr>
            <w:tcW w:w="778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266F4C" w:rsidP="00BC73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BC7331">
              <w:t>4</w:t>
            </w:r>
            <w:r>
              <w:t>,8</w:t>
            </w:r>
            <w:r w:rsidR="00F84553">
              <w:t>0</w:t>
            </w:r>
          </w:p>
        </w:tc>
      </w:tr>
      <w:tr w:rsidR="00F84553" w:rsidTr="00F84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>
            <w:pPr>
              <w:spacing w:after="0" w:line="240" w:lineRule="auto"/>
              <w:jc w:val="center"/>
            </w:pPr>
            <w:r>
              <w:t xml:space="preserve">30 – 39 </w:t>
            </w:r>
          </w:p>
        </w:tc>
        <w:tc>
          <w:tcPr>
            <w:tcW w:w="778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BC73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="00266F4C">
              <w:t>,8</w:t>
            </w:r>
            <w:r w:rsidR="00F84553">
              <w:t>5</w:t>
            </w:r>
          </w:p>
        </w:tc>
      </w:tr>
      <w:tr w:rsidR="00F84553" w:rsidTr="00F84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>
            <w:pPr>
              <w:spacing w:after="0" w:line="240" w:lineRule="auto"/>
              <w:jc w:val="center"/>
            </w:pPr>
            <w:r>
              <w:t xml:space="preserve">20 – 29 </w:t>
            </w:r>
          </w:p>
        </w:tc>
        <w:tc>
          <w:tcPr>
            <w:tcW w:w="778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BC73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266F4C">
              <w:t>,9</w:t>
            </w:r>
            <w:r w:rsidR="00F84553">
              <w:t>0</w:t>
            </w:r>
          </w:p>
        </w:tc>
      </w:tr>
    </w:tbl>
    <w:p w:rsidR="00F84553" w:rsidRDefault="00F84553" w:rsidP="00F84553">
      <w:pPr>
        <w:spacing w:after="0" w:line="240" w:lineRule="auto"/>
        <w:rPr>
          <w:rFonts w:asciiTheme="minorHAnsi" w:hAnsiTheme="minorHAnsi"/>
        </w:rPr>
      </w:pPr>
    </w:p>
    <w:p w:rsidR="00F84553" w:rsidRDefault="00F84553" w:rsidP="00F84553">
      <w:pPr>
        <w:spacing w:after="80" w:line="240" w:lineRule="auto"/>
        <w:rPr>
          <w:b/>
        </w:rPr>
      </w:pPr>
      <w:r>
        <w:rPr>
          <w:b/>
        </w:rPr>
        <w:t>Процентные ставки по программе «Свой дом»:</w:t>
      </w:r>
    </w:p>
    <w:tbl>
      <w:tblPr>
        <w:tblStyle w:val="-56"/>
        <w:tblW w:w="0" w:type="auto"/>
        <w:tblInd w:w="0" w:type="dxa"/>
        <w:tblLook w:val="04A0" w:firstRow="1" w:lastRow="0" w:firstColumn="1" w:lastColumn="0" w:noHBand="0" w:noVBand="1"/>
      </w:tblPr>
      <w:tblGrid>
        <w:gridCol w:w="1879"/>
        <w:gridCol w:w="1492"/>
        <w:gridCol w:w="1492"/>
        <w:gridCol w:w="1494"/>
        <w:gridCol w:w="1494"/>
        <w:gridCol w:w="1494"/>
      </w:tblGrid>
      <w:tr w:rsidR="00F84553" w:rsidTr="00F84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Merge w:val="restart"/>
            <w:tcBorders>
              <w:bottom w:val="single" w:sz="4" w:space="0" w:color="FFFFFF" w:themeColor="background1"/>
            </w:tcBorders>
          </w:tcPr>
          <w:p w:rsidR="00F84553" w:rsidRDefault="00F84553">
            <w:pPr>
              <w:spacing w:after="0" w:line="240" w:lineRule="auto"/>
              <w:jc w:val="center"/>
              <w:rPr>
                <w:rFonts w:cstheme="minorBidi"/>
              </w:rPr>
            </w:pPr>
          </w:p>
          <w:p w:rsidR="00F84553" w:rsidRDefault="00F84553">
            <w:pPr>
              <w:spacing w:after="0" w:line="240" w:lineRule="auto"/>
              <w:jc w:val="center"/>
            </w:pPr>
            <w:r>
              <w:t xml:space="preserve">Первоначальный </w:t>
            </w:r>
            <w:r>
              <w:br/>
            </w:r>
            <w:proofErr w:type="gramStart"/>
            <w:r>
              <w:t>взнос</w:t>
            </w:r>
            <w:r>
              <w:br/>
              <w:t>(</w:t>
            </w:r>
            <w:proofErr w:type="gramEnd"/>
            <w:r>
              <w:t>% от стоимости</w:t>
            </w:r>
            <w:r>
              <w:br/>
              <w:t>недвижимости)</w:t>
            </w:r>
          </w:p>
        </w:tc>
        <w:tc>
          <w:tcPr>
            <w:tcW w:w="7788" w:type="dxa"/>
            <w:gridSpan w:val="5"/>
            <w:tcBorders>
              <w:bottom w:val="single" w:sz="4" w:space="0" w:color="FFFFFF" w:themeColor="background1"/>
            </w:tcBorders>
          </w:tcPr>
          <w:p w:rsidR="00F84553" w:rsidRDefault="00F845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84553" w:rsidRDefault="00F845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Срок ипотечного займа / процентные ставки (% годовых)</w:t>
            </w:r>
          </w:p>
          <w:p w:rsidR="00F84553" w:rsidRDefault="00F845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553" w:rsidTr="00F84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F84553" w:rsidRDefault="00F84553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До 5 лет</w:t>
            </w: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 – 10 лет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 – 15 лет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16 – 20 лет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21 – 30 лет</w:t>
            </w:r>
          </w:p>
        </w:tc>
      </w:tr>
      <w:tr w:rsidR="00F84553" w:rsidTr="00F84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 w:rsidP="00F84553">
            <w:pPr>
              <w:spacing w:after="0" w:line="240" w:lineRule="auto"/>
              <w:jc w:val="center"/>
            </w:pPr>
            <w:r>
              <w:t xml:space="preserve">40 – 60 </w:t>
            </w:r>
          </w:p>
        </w:tc>
        <w:tc>
          <w:tcPr>
            <w:tcW w:w="778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 w:rsidP="00BC73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BC7331">
              <w:t>4</w:t>
            </w:r>
            <w:r w:rsidR="00266F4C">
              <w:t>,9</w:t>
            </w:r>
            <w:r>
              <w:t>0</w:t>
            </w:r>
          </w:p>
        </w:tc>
      </w:tr>
    </w:tbl>
    <w:p w:rsidR="00F84553" w:rsidRDefault="00F84553" w:rsidP="00F84553">
      <w:pPr>
        <w:spacing w:after="80" w:line="240" w:lineRule="auto"/>
        <w:rPr>
          <w:rFonts w:asciiTheme="minorHAnsi" w:hAnsiTheme="minorHAnsi"/>
          <w:b/>
        </w:rPr>
      </w:pPr>
    </w:p>
    <w:p w:rsidR="00F84553" w:rsidRDefault="00F84553" w:rsidP="00F84553">
      <w:pPr>
        <w:spacing w:after="80" w:line="240" w:lineRule="auto"/>
        <w:rPr>
          <w:b/>
        </w:rPr>
      </w:pPr>
      <w:r>
        <w:rPr>
          <w:b/>
        </w:rPr>
        <w:t>Процентные ставки по программе «Залоговый»:</w:t>
      </w:r>
    </w:p>
    <w:tbl>
      <w:tblPr>
        <w:tblStyle w:val="-5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1355"/>
        <w:gridCol w:w="1557"/>
        <w:gridCol w:w="1558"/>
        <w:gridCol w:w="1558"/>
        <w:gridCol w:w="1558"/>
      </w:tblGrid>
      <w:tr w:rsidR="00F84553" w:rsidTr="00F84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bottom w:val="single" w:sz="4" w:space="0" w:color="FFFFFF" w:themeColor="background1"/>
            </w:tcBorders>
          </w:tcPr>
          <w:p w:rsidR="00F84553" w:rsidRDefault="00F84553">
            <w:pPr>
              <w:spacing w:after="0" w:line="240" w:lineRule="auto"/>
              <w:jc w:val="center"/>
              <w:rPr>
                <w:rFonts w:cstheme="minorBidi"/>
                <w:sz w:val="18"/>
                <w:szCs w:val="18"/>
              </w:rPr>
            </w:pPr>
          </w:p>
          <w:p w:rsidR="00F84553" w:rsidRDefault="00F84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суммы займа к стоимости передаваемой в залог квартиры, %</w:t>
            </w:r>
          </w:p>
        </w:tc>
        <w:tc>
          <w:tcPr>
            <w:tcW w:w="7586" w:type="dxa"/>
            <w:gridSpan w:val="5"/>
            <w:tcBorders>
              <w:bottom w:val="single" w:sz="4" w:space="0" w:color="FFFFFF" w:themeColor="background1"/>
            </w:tcBorders>
          </w:tcPr>
          <w:p w:rsidR="00F84553" w:rsidRDefault="00F845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84553" w:rsidRDefault="00F845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Срок ипотечного займа / процентные ставки (% годовых)</w:t>
            </w:r>
          </w:p>
          <w:p w:rsidR="00F84553" w:rsidRDefault="00F845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553" w:rsidTr="00F84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F84553" w:rsidRDefault="00F845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До 5 лет</w:t>
            </w: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 – 10 лет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 – 15 лет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16 – 20 лет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21 – 30 лет</w:t>
            </w:r>
          </w:p>
        </w:tc>
      </w:tr>
      <w:tr w:rsidR="00F84553" w:rsidTr="00F84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 w:rsidP="00F84553">
            <w:pPr>
              <w:spacing w:after="0" w:line="240" w:lineRule="auto"/>
              <w:jc w:val="center"/>
            </w:pPr>
            <w:r>
              <w:t xml:space="preserve">20 – 50 </w:t>
            </w:r>
          </w:p>
        </w:tc>
        <w:tc>
          <w:tcPr>
            <w:tcW w:w="75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 w:rsidP="00BC73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BC7331">
              <w:t>4</w:t>
            </w:r>
            <w:r>
              <w:t>,75</w:t>
            </w:r>
          </w:p>
        </w:tc>
      </w:tr>
      <w:tr w:rsidR="00F84553" w:rsidTr="00F84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>
            <w:pPr>
              <w:spacing w:after="0" w:line="240" w:lineRule="auto"/>
              <w:jc w:val="center"/>
            </w:pPr>
            <w:r>
              <w:t xml:space="preserve">51 – 60 </w:t>
            </w:r>
          </w:p>
        </w:tc>
        <w:tc>
          <w:tcPr>
            <w:tcW w:w="75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 w:rsidP="00BC73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BC7331">
              <w:t>4</w:t>
            </w:r>
            <w:r>
              <w:t>,80</w:t>
            </w:r>
          </w:p>
        </w:tc>
      </w:tr>
      <w:tr w:rsidR="00F84553" w:rsidTr="00F84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>
            <w:pPr>
              <w:spacing w:after="0" w:line="240" w:lineRule="auto"/>
              <w:jc w:val="center"/>
            </w:pPr>
            <w:r>
              <w:t xml:space="preserve">61 – 70 </w:t>
            </w:r>
          </w:p>
        </w:tc>
        <w:tc>
          <w:tcPr>
            <w:tcW w:w="75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 w:rsidP="00BC73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BC7331">
              <w:t>4</w:t>
            </w:r>
            <w:r>
              <w:t>,85</w:t>
            </w:r>
          </w:p>
        </w:tc>
      </w:tr>
      <w:tr w:rsidR="00F84553" w:rsidTr="00F84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>
            <w:pPr>
              <w:spacing w:after="0" w:line="240" w:lineRule="auto"/>
              <w:jc w:val="center"/>
            </w:pPr>
            <w:r>
              <w:t xml:space="preserve">71 – 80 </w:t>
            </w:r>
          </w:p>
        </w:tc>
        <w:tc>
          <w:tcPr>
            <w:tcW w:w="75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 w:rsidP="00BC73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BC7331">
              <w:t>4</w:t>
            </w:r>
            <w:r>
              <w:t>,90</w:t>
            </w:r>
          </w:p>
        </w:tc>
      </w:tr>
    </w:tbl>
    <w:p w:rsidR="00F84553" w:rsidRDefault="00F84553" w:rsidP="00F84553">
      <w:pPr>
        <w:spacing w:after="0" w:line="240" w:lineRule="auto"/>
        <w:rPr>
          <w:rFonts w:asciiTheme="minorHAnsi" w:hAnsiTheme="minorHAnsi"/>
        </w:rPr>
      </w:pPr>
    </w:p>
    <w:p w:rsidR="00F84553" w:rsidRDefault="00F84553" w:rsidP="00F84553">
      <w:pPr>
        <w:spacing w:after="0" w:line="240" w:lineRule="auto"/>
      </w:pPr>
      <w:r>
        <w:rPr>
          <w:b/>
        </w:rPr>
        <w:t>Процентные ставки по программе «Материнский капитал»:</w:t>
      </w:r>
    </w:p>
    <w:tbl>
      <w:tblPr>
        <w:tblStyle w:val="-56"/>
        <w:tblW w:w="0" w:type="auto"/>
        <w:tblInd w:w="0" w:type="dxa"/>
        <w:tblLook w:val="04A0" w:firstRow="1" w:lastRow="0" w:firstColumn="1" w:lastColumn="0" w:noHBand="0" w:noVBand="1"/>
      </w:tblPr>
      <w:tblGrid>
        <w:gridCol w:w="1879"/>
        <w:gridCol w:w="1492"/>
        <w:gridCol w:w="1492"/>
        <w:gridCol w:w="1494"/>
        <w:gridCol w:w="1494"/>
        <w:gridCol w:w="1494"/>
      </w:tblGrid>
      <w:tr w:rsidR="00F84553" w:rsidTr="00F84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Merge w:val="restart"/>
            <w:tcBorders>
              <w:bottom w:val="single" w:sz="4" w:space="0" w:color="FFFFFF" w:themeColor="background1"/>
            </w:tcBorders>
          </w:tcPr>
          <w:p w:rsidR="00F84553" w:rsidRDefault="00F84553">
            <w:pPr>
              <w:spacing w:after="0" w:line="240" w:lineRule="auto"/>
              <w:jc w:val="center"/>
              <w:rPr>
                <w:rFonts w:cstheme="minorBidi"/>
              </w:rPr>
            </w:pPr>
          </w:p>
          <w:p w:rsidR="00F84553" w:rsidRDefault="00F84553">
            <w:pPr>
              <w:spacing w:after="0" w:line="240" w:lineRule="auto"/>
              <w:jc w:val="center"/>
            </w:pPr>
            <w:r>
              <w:t xml:space="preserve">Первоначальный </w:t>
            </w:r>
            <w:r>
              <w:br/>
            </w:r>
            <w:proofErr w:type="gramStart"/>
            <w:r>
              <w:t>взнос</w:t>
            </w:r>
            <w:r>
              <w:br/>
              <w:t>(</w:t>
            </w:r>
            <w:proofErr w:type="gramEnd"/>
            <w:r>
              <w:t>% от стоимости</w:t>
            </w:r>
            <w:r>
              <w:br/>
              <w:t>недвижимости)</w:t>
            </w:r>
          </w:p>
        </w:tc>
        <w:tc>
          <w:tcPr>
            <w:tcW w:w="7788" w:type="dxa"/>
            <w:gridSpan w:val="5"/>
            <w:tcBorders>
              <w:bottom w:val="single" w:sz="4" w:space="0" w:color="FFFFFF" w:themeColor="background1"/>
            </w:tcBorders>
          </w:tcPr>
          <w:p w:rsidR="00F84553" w:rsidRDefault="00F845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84553" w:rsidRDefault="00F845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Срок ипотечного займа / процентные ставки (% годовых)</w:t>
            </w:r>
          </w:p>
          <w:p w:rsidR="00F84553" w:rsidRDefault="00F845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553" w:rsidTr="00F84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F84553" w:rsidRDefault="00F84553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До 5 лет</w:t>
            </w: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 – 10 лет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 – 15 лет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16 – 20 лет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21 – 30 лет</w:t>
            </w:r>
          </w:p>
        </w:tc>
      </w:tr>
      <w:tr w:rsidR="00F84553" w:rsidTr="00F84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>
            <w:pPr>
              <w:spacing w:after="0" w:line="240" w:lineRule="auto"/>
              <w:jc w:val="center"/>
            </w:pPr>
            <w:r>
              <w:t xml:space="preserve">50 – 90 </w:t>
            </w:r>
          </w:p>
        </w:tc>
        <w:tc>
          <w:tcPr>
            <w:tcW w:w="778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 w:rsidP="00BC73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BC7331">
              <w:t>4</w:t>
            </w:r>
            <w:r>
              <w:t>,75</w:t>
            </w:r>
          </w:p>
        </w:tc>
      </w:tr>
      <w:tr w:rsidR="00F84553" w:rsidTr="00F84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>
            <w:pPr>
              <w:spacing w:after="0" w:line="240" w:lineRule="auto"/>
              <w:jc w:val="center"/>
            </w:pPr>
            <w:r>
              <w:t xml:space="preserve">40 – 49 </w:t>
            </w:r>
          </w:p>
        </w:tc>
        <w:tc>
          <w:tcPr>
            <w:tcW w:w="778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 w:rsidP="00BC73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BC7331">
              <w:t>4</w:t>
            </w:r>
            <w:r>
              <w:t>,80</w:t>
            </w:r>
          </w:p>
        </w:tc>
      </w:tr>
      <w:tr w:rsidR="00F84553" w:rsidTr="00F84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>
            <w:pPr>
              <w:spacing w:after="0" w:line="240" w:lineRule="auto"/>
              <w:jc w:val="center"/>
            </w:pPr>
            <w:r>
              <w:t xml:space="preserve">30 – 39 </w:t>
            </w:r>
          </w:p>
        </w:tc>
        <w:tc>
          <w:tcPr>
            <w:tcW w:w="778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 w:rsidP="00BC73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BC7331">
              <w:t>4</w:t>
            </w:r>
            <w:r>
              <w:t>,85</w:t>
            </w:r>
          </w:p>
        </w:tc>
      </w:tr>
      <w:tr w:rsidR="00F84553" w:rsidTr="00F84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>
            <w:pPr>
              <w:spacing w:after="0" w:line="240" w:lineRule="auto"/>
              <w:jc w:val="center"/>
            </w:pPr>
            <w:r>
              <w:t xml:space="preserve">20 – 29 </w:t>
            </w:r>
          </w:p>
        </w:tc>
        <w:tc>
          <w:tcPr>
            <w:tcW w:w="778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BC7331" w:rsidP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F84553">
              <w:t>,90</w:t>
            </w:r>
          </w:p>
        </w:tc>
      </w:tr>
    </w:tbl>
    <w:p w:rsidR="00F84553" w:rsidRDefault="00F84553" w:rsidP="00F84553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F84553" w:rsidRDefault="00F84553" w:rsidP="00F84553">
      <w:pPr>
        <w:spacing w:after="0" w:line="240" w:lineRule="auto"/>
        <w:rPr>
          <w:b/>
        </w:rPr>
      </w:pPr>
      <w:r>
        <w:rPr>
          <w:b/>
        </w:rPr>
        <w:t>Процентные ставки по программе «Свой дом – Материнский капитал»:</w:t>
      </w:r>
    </w:p>
    <w:tbl>
      <w:tblPr>
        <w:tblStyle w:val="-56"/>
        <w:tblW w:w="0" w:type="auto"/>
        <w:tblInd w:w="0" w:type="dxa"/>
        <w:tblLook w:val="04A0" w:firstRow="1" w:lastRow="0" w:firstColumn="1" w:lastColumn="0" w:noHBand="0" w:noVBand="1"/>
      </w:tblPr>
      <w:tblGrid>
        <w:gridCol w:w="1879"/>
        <w:gridCol w:w="1492"/>
        <w:gridCol w:w="1492"/>
        <w:gridCol w:w="1494"/>
        <w:gridCol w:w="1494"/>
        <w:gridCol w:w="1494"/>
      </w:tblGrid>
      <w:tr w:rsidR="00F84553" w:rsidTr="00F84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Merge w:val="restart"/>
            <w:tcBorders>
              <w:bottom w:val="single" w:sz="4" w:space="0" w:color="FFFFFF" w:themeColor="background1"/>
            </w:tcBorders>
          </w:tcPr>
          <w:p w:rsidR="00F84553" w:rsidRDefault="00F84553">
            <w:pPr>
              <w:spacing w:after="0" w:line="240" w:lineRule="auto"/>
              <w:jc w:val="center"/>
              <w:rPr>
                <w:rFonts w:cstheme="minorBidi"/>
              </w:rPr>
            </w:pPr>
          </w:p>
          <w:p w:rsidR="00F84553" w:rsidRDefault="00F84553">
            <w:pPr>
              <w:spacing w:after="0" w:line="240" w:lineRule="auto"/>
              <w:jc w:val="center"/>
            </w:pPr>
            <w:r>
              <w:lastRenderedPageBreak/>
              <w:t xml:space="preserve">Первоначальный </w:t>
            </w:r>
            <w:r>
              <w:br/>
            </w:r>
            <w:proofErr w:type="gramStart"/>
            <w:r>
              <w:t>взнос</w:t>
            </w:r>
            <w:r>
              <w:br/>
              <w:t>(</w:t>
            </w:r>
            <w:proofErr w:type="gramEnd"/>
            <w:r>
              <w:t>% от стоимости</w:t>
            </w:r>
            <w:r>
              <w:br/>
              <w:t>недвижимости)</w:t>
            </w:r>
          </w:p>
        </w:tc>
        <w:tc>
          <w:tcPr>
            <w:tcW w:w="7788" w:type="dxa"/>
            <w:gridSpan w:val="5"/>
            <w:tcBorders>
              <w:bottom w:val="single" w:sz="4" w:space="0" w:color="FFFFFF" w:themeColor="background1"/>
            </w:tcBorders>
          </w:tcPr>
          <w:p w:rsidR="00F84553" w:rsidRDefault="00F845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84553" w:rsidRDefault="00F845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Срок ипотечного займа / процентные ставки (% годовых)</w:t>
            </w:r>
          </w:p>
          <w:p w:rsidR="00F84553" w:rsidRDefault="00F845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553" w:rsidTr="00F84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F84553" w:rsidRDefault="00F84553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До 5 лет</w:t>
            </w: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 – 10 лет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 – 15 лет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16 – 20 лет</w:t>
            </w:r>
          </w:p>
        </w:tc>
        <w:tc>
          <w:tcPr>
            <w:tcW w:w="1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AD47" w:themeFill="accent6"/>
          </w:tcPr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84553" w:rsidRDefault="00F845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21 – 30 лет</w:t>
            </w:r>
          </w:p>
        </w:tc>
      </w:tr>
      <w:tr w:rsidR="00F84553" w:rsidTr="00F84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>
            <w:pPr>
              <w:spacing w:after="0" w:line="240" w:lineRule="auto"/>
              <w:jc w:val="center"/>
            </w:pPr>
            <w:r>
              <w:t xml:space="preserve">40 – 90 </w:t>
            </w:r>
          </w:p>
        </w:tc>
        <w:tc>
          <w:tcPr>
            <w:tcW w:w="778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84553" w:rsidRDefault="00F84553" w:rsidP="00BC73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BC7331">
              <w:t>4</w:t>
            </w:r>
            <w:r>
              <w:t>,90</w:t>
            </w:r>
          </w:p>
        </w:tc>
      </w:tr>
    </w:tbl>
    <w:p w:rsidR="00F84553" w:rsidRDefault="00F84553" w:rsidP="00F84553">
      <w:pPr>
        <w:spacing w:after="0" w:line="240" w:lineRule="auto"/>
        <w:rPr>
          <w:rFonts w:asciiTheme="minorHAnsi" w:hAnsiTheme="minorHAnsi"/>
        </w:rPr>
      </w:pPr>
    </w:p>
    <w:p w:rsidR="00F84553" w:rsidRDefault="00F84553" w:rsidP="00F84553">
      <w:pPr>
        <w:spacing w:after="0" w:line="240" w:lineRule="auto"/>
      </w:pPr>
    </w:p>
    <w:p w:rsidR="00F84553" w:rsidRDefault="00F84553" w:rsidP="00F84553">
      <w:pPr>
        <w:spacing w:after="0" w:line="240" w:lineRule="auto"/>
      </w:pPr>
      <w:r>
        <w:t>По программе ДВИЦ_МСК процентная ставка за пользование займом в пределах 120 дней составляет 5 процентов от суммы займа (что соответствует ставке 15 процентов годовых при условии возврата займа в последний день указанного срока).</w:t>
      </w:r>
    </w:p>
    <w:p w:rsidR="00F84553" w:rsidRDefault="00F84553" w:rsidP="00F84553">
      <w:pPr>
        <w:spacing w:after="0" w:line="240" w:lineRule="auto"/>
      </w:pPr>
      <w:r>
        <w:tab/>
      </w:r>
    </w:p>
    <w:p w:rsidR="00F84553" w:rsidRDefault="00F84553" w:rsidP="00F84553">
      <w:pPr>
        <w:spacing w:after="0" w:line="240" w:lineRule="auto"/>
      </w:pPr>
      <w:r>
        <w:rPr>
          <w:b/>
        </w:rPr>
        <w:t>9.</w:t>
      </w:r>
      <w:r>
        <w:t xml:space="preserve"> Виды и суммы иных платежей заемщика по договору потребительского займа: нет.</w:t>
      </w:r>
    </w:p>
    <w:p w:rsidR="00F84553" w:rsidRDefault="00F84553" w:rsidP="00F84553">
      <w:pPr>
        <w:spacing w:after="0" w:line="240" w:lineRule="auto"/>
        <w:rPr>
          <w:b/>
          <w:bCs/>
        </w:rPr>
      </w:pPr>
    </w:p>
    <w:p w:rsidR="00F84553" w:rsidRDefault="00F84553" w:rsidP="00F84553">
      <w:pPr>
        <w:spacing w:after="0" w:line="240" w:lineRule="auto"/>
        <w:rPr>
          <w:bCs/>
        </w:rPr>
      </w:pPr>
      <w:r>
        <w:rPr>
          <w:b/>
          <w:bCs/>
        </w:rPr>
        <w:t>10.</w:t>
      </w:r>
      <w:r>
        <w:rPr>
          <w:bCs/>
        </w:rPr>
        <w:t xml:space="preserve"> Диапазоны значений полной стоимости потребительского займа, определенных с учетом требований Федерального закона по видам потребительского займа (в % годовых): </w:t>
      </w:r>
    </w:p>
    <w:p w:rsidR="00F84553" w:rsidRDefault="00F84553" w:rsidP="00F84553">
      <w:pPr>
        <w:spacing w:after="0" w:line="240" w:lineRule="auto"/>
        <w:rPr>
          <w:bCs/>
        </w:rPr>
      </w:pPr>
      <w:proofErr w:type="spellStart"/>
      <w:r>
        <w:rPr>
          <w:bCs/>
        </w:rPr>
        <w:t>Стандарт_ИЦБ</w:t>
      </w:r>
      <w:proofErr w:type="spellEnd"/>
      <w:r>
        <w:rPr>
          <w:bCs/>
        </w:rPr>
        <w:t xml:space="preserve"> (от 1</w:t>
      </w:r>
      <w:r w:rsidR="00BC7331">
        <w:rPr>
          <w:bCs/>
        </w:rPr>
        <w:t>4</w:t>
      </w:r>
      <w:r>
        <w:rPr>
          <w:bCs/>
        </w:rPr>
        <w:t>,75 до 1</w:t>
      </w:r>
      <w:r w:rsidR="00BC7331">
        <w:rPr>
          <w:bCs/>
        </w:rPr>
        <w:t>4</w:t>
      </w:r>
      <w:r>
        <w:rPr>
          <w:bCs/>
        </w:rPr>
        <w:t>,9%)</w:t>
      </w:r>
    </w:p>
    <w:p w:rsidR="00F84553" w:rsidRDefault="00F84553" w:rsidP="00F84553">
      <w:pPr>
        <w:spacing w:after="0" w:line="240" w:lineRule="auto"/>
        <w:rPr>
          <w:bCs/>
        </w:rPr>
      </w:pPr>
      <w:proofErr w:type="spellStart"/>
      <w:r>
        <w:rPr>
          <w:bCs/>
        </w:rPr>
        <w:t>Стандарт_ИЦБ_Дом</w:t>
      </w:r>
      <w:proofErr w:type="spellEnd"/>
      <w:r>
        <w:rPr>
          <w:bCs/>
        </w:rPr>
        <w:t xml:space="preserve"> (1</w:t>
      </w:r>
      <w:r w:rsidR="00BC7331">
        <w:rPr>
          <w:bCs/>
        </w:rPr>
        <w:t>4</w:t>
      </w:r>
      <w:r>
        <w:rPr>
          <w:bCs/>
        </w:rPr>
        <w:t>,9%)</w:t>
      </w:r>
    </w:p>
    <w:p w:rsidR="00F84553" w:rsidRDefault="00F84553" w:rsidP="00F84553">
      <w:pPr>
        <w:spacing w:after="0" w:line="240" w:lineRule="auto"/>
        <w:rPr>
          <w:bCs/>
        </w:rPr>
      </w:pPr>
      <w:proofErr w:type="spellStart"/>
      <w:r>
        <w:rPr>
          <w:bCs/>
        </w:rPr>
        <w:t>Стандарт_под</w:t>
      </w:r>
      <w:proofErr w:type="spellEnd"/>
      <w:r>
        <w:rPr>
          <w:bCs/>
        </w:rPr>
        <w:t xml:space="preserve"> залог имеющегося (от 1</w:t>
      </w:r>
      <w:r w:rsidR="00BC7331">
        <w:rPr>
          <w:bCs/>
        </w:rPr>
        <w:t>4</w:t>
      </w:r>
      <w:r>
        <w:rPr>
          <w:bCs/>
        </w:rPr>
        <w:t>,75 до 1</w:t>
      </w:r>
      <w:r w:rsidR="00BC7331">
        <w:rPr>
          <w:bCs/>
        </w:rPr>
        <w:t>4</w:t>
      </w:r>
      <w:r>
        <w:rPr>
          <w:bCs/>
        </w:rPr>
        <w:t>,9%)</w:t>
      </w:r>
    </w:p>
    <w:p w:rsidR="00F84553" w:rsidRDefault="00BC7331" w:rsidP="00F84553">
      <w:pPr>
        <w:spacing w:after="0" w:line="240" w:lineRule="auto"/>
        <w:rPr>
          <w:bCs/>
        </w:rPr>
      </w:pPr>
      <w:r>
        <w:rPr>
          <w:bCs/>
        </w:rPr>
        <w:t>ИЦБ_МСК (от 14,75% до 14</w:t>
      </w:r>
      <w:r w:rsidR="00F84553">
        <w:rPr>
          <w:bCs/>
        </w:rPr>
        <w:t>,9%)</w:t>
      </w:r>
    </w:p>
    <w:p w:rsidR="00F84553" w:rsidRDefault="00F84553" w:rsidP="00F84553">
      <w:pPr>
        <w:spacing w:after="0" w:line="240" w:lineRule="auto"/>
        <w:rPr>
          <w:bCs/>
        </w:rPr>
      </w:pPr>
      <w:proofErr w:type="spellStart"/>
      <w:r>
        <w:rPr>
          <w:bCs/>
        </w:rPr>
        <w:t>ИЦБ_МСК_Дом</w:t>
      </w:r>
      <w:proofErr w:type="spellEnd"/>
      <w:r>
        <w:rPr>
          <w:bCs/>
        </w:rPr>
        <w:t xml:space="preserve"> (1</w:t>
      </w:r>
      <w:r w:rsidR="00BC7331">
        <w:rPr>
          <w:bCs/>
        </w:rPr>
        <w:t>4</w:t>
      </w:r>
      <w:r>
        <w:rPr>
          <w:bCs/>
        </w:rPr>
        <w:t>,9%)</w:t>
      </w:r>
    </w:p>
    <w:p w:rsidR="00F84553" w:rsidRDefault="00F84553" w:rsidP="00F84553">
      <w:pPr>
        <w:spacing w:after="0" w:line="240" w:lineRule="auto"/>
        <w:rPr>
          <w:bCs/>
        </w:rPr>
      </w:pPr>
      <w:r>
        <w:rPr>
          <w:bCs/>
        </w:rPr>
        <w:t>ДВИЦ_МСК (18%)</w:t>
      </w:r>
    </w:p>
    <w:p w:rsidR="00F84553" w:rsidRDefault="00F84553" w:rsidP="00F84553">
      <w:pPr>
        <w:spacing w:after="0" w:line="240" w:lineRule="auto"/>
        <w:rPr>
          <w:b/>
        </w:rPr>
      </w:pPr>
    </w:p>
    <w:p w:rsidR="00F84553" w:rsidRDefault="00F84553" w:rsidP="00F84553">
      <w:pPr>
        <w:spacing w:after="0" w:line="240" w:lineRule="auto"/>
      </w:pPr>
      <w:r>
        <w:rPr>
          <w:b/>
        </w:rPr>
        <w:t>11.</w:t>
      </w:r>
      <w:r>
        <w:t xml:space="preserve"> Периодичность платежей заемщика при возврате потребительского займа, уплате процентов и иных платежей по займу: Заемщик возвращает заем и уплачивает проценты путем осуществления Ежемесячных платежей, а также платежей за Первый и Последний процентные периоды.</w:t>
      </w:r>
    </w:p>
    <w:p w:rsidR="00F84553" w:rsidRDefault="00F84553" w:rsidP="00F84553">
      <w:pPr>
        <w:tabs>
          <w:tab w:val="left" w:pos="567"/>
        </w:tabs>
        <w:spacing w:after="0" w:line="240" w:lineRule="auto"/>
        <w:jc w:val="both"/>
      </w:pPr>
    </w:p>
    <w:p w:rsidR="00F84553" w:rsidRDefault="00F84553" w:rsidP="00F84553">
      <w:pPr>
        <w:tabs>
          <w:tab w:val="left" w:pos="567"/>
        </w:tabs>
        <w:spacing w:after="0" w:line="240" w:lineRule="auto"/>
        <w:jc w:val="both"/>
      </w:pPr>
      <w:r>
        <w:rPr>
          <w:b/>
        </w:rPr>
        <w:t>12.</w:t>
      </w:r>
      <w:r>
        <w:t xml:space="preserve"> Способы возврата заемщиком потребительского займа, уплаты процентов по нему, включая бесплатный способ исполнения заемщиком обязательств по договору потребительского займа: Исполнение обязательств Заемщика по Договору может быть осуществлено следующими способами:</w:t>
      </w:r>
    </w:p>
    <w:p w:rsidR="00F84553" w:rsidRDefault="00F84553" w:rsidP="00F84553">
      <w:pPr>
        <w:tabs>
          <w:tab w:val="left" w:pos="356"/>
        </w:tabs>
        <w:spacing w:after="0" w:line="240" w:lineRule="auto"/>
        <w:jc w:val="both"/>
      </w:pPr>
      <w:r>
        <w:t>1) безналичным перечислением денежных средств со счетов Заемщика на счет Займодавца;</w:t>
      </w:r>
    </w:p>
    <w:p w:rsidR="00F84553" w:rsidRDefault="00F84553" w:rsidP="00F84553">
      <w:pPr>
        <w:tabs>
          <w:tab w:val="left" w:pos="356"/>
        </w:tabs>
        <w:spacing w:after="0" w:line="240" w:lineRule="auto"/>
        <w:jc w:val="both"/>
      </w:pPr>
      <w:r>
        <w:t>2) безналичным перечислением денежных средств без открытия счета на счет Займодавца;</w:t>
      </w:r>
    </w:p>
    <w:p w:rsidR="00F84553" w:rsidRDefault="00F84553" w:rsidP="00F84553">
      <w:pPr>
        <w:spacing w:after="0" w:line="240" w:lineRule="auto"/>
      </w:pPr>
      <w:r>
        <w:t>3) внесением наличных денежных средств в кассу Займодавца (при ее наличии);</w:t>
      </w:r>
    </w:p>
    <w:p w:rsidR="00F84553" w:rsidRDefault="00F84553" w:rsidP="00F84553">
      <w:r>
        <w:t>4) безналичное перечисление денежных средств бухгалтерией работодателя Заемщика на основании соответствующего заявления Заемщика (бесплатный для Заемщика способ).</w:t>
      </w:r>
    </w:p>
    <w:p w:rsidR="00F84553" w:rsidRDefault="00F84553" w:rsidP="00F84553">
      <w:pPr>
        <w:spacing w:after="0" w:line="240" w:lineRule="auto"/>
      </w:pPr>
      <w:r>
        <w:rPr>
          <w:b/>
        </w:rPr>
        <w:t>13.</w:t>
      </w:r>
      <w:r>
        <w:t xml:space="preserve"> Сроки, в течение которых заемщик вправе отказаться от получения потребительского займа: До заключения договора займа.</w:t>
      </w:r>
    </w:p>
    <w:p w:rsidR="00F84553" w:rsidRDefault="00F84553" w:rsidP="00F84553">
      <w:pPr>
        <w:spacing w:after="0" w:line="240" w:lineRule="auto"/>
      </w:pPr>
    </w:p>
    <w:p w:rsidR="00F84553" w:rsidRDefault="00F84553" w:rsidP="00F84553">
      <w:pPr>
        <w:spacing w:after="0" w:line="240" w:lineRule="auto"/>
        <w:rPr>
          <w:b/>
        </w:rPr>
      </w:pPr>
      <w:r>
        <w:rPr>
          <w:b/>
        </w:rPr>
        <w:t>14.</w:t>
      </w:r>
      <w:r>
        <w:t xml:space="preserve"> Способы обеспечения исполнения обязательств по договору потребительского займа: ипотека квартиры; личное страхование заемщика; имущественное страхование</w:t>
      </w:r>
    </w:p>
    <w:p w:rsidR="00F84553" w:rsidRDefault="00F84553" w:rsidP="00F84553">
      <w:pPr>
        <w:spacing w:after="0" w:line="240" w:lineRule="auto"/>
      </w:pPr>
    </w:p>
    <w:p w:rsidR="00F84553" w:rsidRDefault="00F84553" w:rsidP="00F84553">
      <w:pPr>
        <w:spacing w:after="0" w:line="240" w:lineRule="auto"/>
        <w:rPr>
          <w:iCs/>
        </w:rPr>
      </w:pPr>
      <w:r>
        <w:rPr>
          <w:b/>
        </w:rPr>
        <w:t>15.</w:t>
      </w:r>
      <w:r>
        <w:t xml:space="preserve"> Ответственность заемщика за ненадлежащее исполнение договора потребительского займа, размеры неустойки (штрафа, пени), порядок ее расчета, а также информация о том, в каких случаях данные санкции могут быть применены: </w:t>
      </w:r>
      <w:proofErr w:type="gramStart"/>
      <w:r>
        <w:t>В</w:t>
      </w:r>
      <w:proofErr w:type="gramEnd"/>
      <w:r>
        <w:t xml:space="preserve"> случае возникновения </w:t>
      </w:r>
      <w:r>
        <w:rPr>
          <w:b/>
        </w:rPr>
        <w:t>Просроченного платежа</w:t>
      </w:r>
      <w:r>
        <w:t xml:space="preserve"> </w:t>
      </w:r>
      <w:r>
        <w:rPr>
          <w:iCs/>
        </w:rPr>
        <w:t xml:space="preserve">Займодавец начисляет </w:t>
      </w:r>
      <w:r>
        <w:t>проценты</w:t>
      </w:r>
      <w:r>
        <w:rPr>
          <w:iCs/>
        </w:rPr>
        <w:t xml:space="preserve"> по ставке, установленной</w:t>
      </w:r>
      <w:r>
        <w:t xml:space="preserve"> в Д</w:t>
      </w:r>
      <w:r>
        <w:rPr>
          <w:iCs/>
        </w:rPr>
        <w:t>оговоре:</w:t>
      </w:r>
    </w:p>
    <w:p w:rsidR="00F84553" w:rsidRDefault="00F84553" w:rsidP="00F84553">
      <w:pPr>
        <w:numPr>
          <w:ilvl w:val="0"/>
          <w:numId w:val="3"/>
        </w:numPr>
        <w:tabs>
          <w:tab w:val="left" w:pos="885"/>
        </w:tabs>
        <w:spacing w:after="0" w:line="240" w:lineRule="auto"/>
        <w:ind w:left="885" w:hanging="284"/>
        <w:jc w:val="both"/>
      </w:pPr>
      <w:r>
        <w:t xml:space="preserve">на Остаток суммы </w:t>
      </w:r>
      <w:r>
        <w:rPr>
          <w:iCs/>
        </w:rPr>
        <w:t>займа, указанный в Графике платежей</w:t>
      </w:r>
      <w:r>
        <w:t xml:space="preserve"> для</w:t>
      </w:r>
      <w:r>
        <w:rPr>
          <w:iCs/>
        </w:rPr>
        <w:t xml:space="preserve"> соответствующего Процентного периода,</w:t>
      </w:r>
      <w:r>
        <w:t xml:space="preserve"> за </w:t>
      </w:r>
      <w:r>
        <w:rPr>
          <w:iCs/>
        </w:rPr>
        <w:t>период, равный количеству дней в соответствующем Процентном периоде;</w:t>
      </w:r>
    </w:p>
    <w:p w:rsidR="00F84553" w:rsidRDefault="00F84553" w:rsidP="00F84553">
      <w:pPr>
        <w:numPr>
          <w:ilvl w:val="0"/>
          <w:numId w:val="3"/>
        </w:numPr>
        <w:tabs>
          <w:tab w:val="left" w:pos="885"/>
        </w:tabs>
        <w:spacing w:after="0" w:line="240" w:lineRule="auto"/>
        <w:ind w:left="885" w:hanging="284"/>
        <w:jc w:val="both"/>
      </w:pPr>
      <w:r>
        <w:rPr>
          <w:iCs/>
        </w:rPr>
        <w:t xml:space="preserve">на Просроченный платеж в счет возврата суммы займа за </w:t>
      </w:r>
      <w:r>
        <w:t xml:space="preserve">каждый календарный день </w:t>
      </w:r>
      <w:r>
        <w:rPr>
          <w:iCs/>
        </w:rPr>
        <w:t xml:space="preserve">просрочки </w:t>
      </w:r>
      <w:r>
        <w:t xml:space="preserve">по дату фактического погашения </w:t>
      </w:r>
      <w:r>
        <w:rPr>
          <w:iCs/>
        </w:rPr>
        <w:t>Просроченного платежа</w:t>
      </w:r>
      <w:r>
        <w:rPr>
          <w:bCs/>
        </w:rPr>
        <w:t xml:space="preserve"> </w:t>
      </w:r>
      <w:r>
        <w:t>(включительно);</w:t>
      </w:r>
    </w:p>
    <w:p w:rsidR="00F84553" w:rsidRDefault="00F84553" w:rsidP="00F84553">
      <w:pPr>
        <w:tabs>
          <w:tab w:val="left" w:pos="567"/>
        </w:tabs>
        <w:spacing w:after="0" w:line="240" w:lineRule="auto"/>
        <w:jc w:val="both"/>
      </w:pPr>
      <w:r>
        <w:t>Займодавец уведомляет Заемщика об обязанности уплаты помимо Ежемесячного платежа следующих сумм:</w:t>
      </w:r>
    </w:p>
    <w:p w:rsidR="00F84553" w:rsidRDefault="00F84553" w:rsidP="00F84553">
      <w:pPr>
        <w:numPr>
          <w:ilvl w:val="0"/>
          <w:numId w:val="3"/>
        </w:numPr>
        <w:tabs>
          <w:tab w:val="left" w:pos="885"/>
        </w:tabs>
        <w:spacing w:after="0" w:line="240" w:lineRule="auto"/>
        <w:ind w:left="885" w:hanging="284"/>
        <w:jc w:val="both"/>
      </w:pPr>
      <w:r>
        <w:lastRenderedPageBreak/>
        <w:t>суммы Просроченных платежей;</w:t>
      </w:r>
    </w:p>
    <w:p w:rsidR="00F84553" w:rsidRDefault="00F84553" w:rsidP="00F84553">
      <w:pPr>
        <w:numPr>
          <w:ilvl w:val="0"/>
          <w:numId w:val="3"/>
        </w:numPr>
        <w:tabs>
          <w:tab w:val="left" w:pos="885"/>
        </w:tabs>
        <w:spacing w:after="0" w:line="240" w:lineRule="auto"/>
        <w:ind w:left="885" w:hanging="284"/>
        <w:jc w:val="both"/>
      </w:pPr>
      <w:r>
        <w:t>суммы процентов, начисленных на Просроченные платежи в счет возврата суммы займа;</w:t>
      </w:r>
    </w:p>
    <w:p w:rsidR="00F84553" w:rsidRDefault="00F84553" w:rsidP="00F84553">
      <w:pPr>
        <w:spacing w:after="0" w:line="240" w:lineRule="auto"/>
        <w:ind w:left="567"/>
      </w:pPr>
      <w:r>
        <w:t xml:space="preserve"> -    суммы неустойки (при наличии).</w:t>
      </w:r>
    </w:p>
    <w:p w:rsidR="00F84553" w:rsidRDefault="00F84553" w:rsidP="00F84553">
      <w:pPr>
        <w:tabs>
          <w:tab w:val="left" w:pos="567"/>
        </w:tabs>
        <w:jc w:val="both"/>
      </w:pPr>
      <w:r>
        <w:t xml:space="preserve">В случае недостаточности денежных средств, поступивших от Заемщика, для исполнения им обязательств по Договору в полном объеме, устанавливается следующая очередность </w:t>
      </w:r>
      <w:r>
        <w:rPr>
          <w:bCs/>
          <w:iCs/>
        </w:rPr>
        <w:t>удовлетворения</w:t>
      </w:r>
      <w:r>
        <w:t xml:space="preserve"> требований Займодавца:</w:t>
      </w:r>
    </w:p>
    <w:p w:rsidR="00F84553" w:rsidRDefault="00F84553" w:rsidP="00F84553">
      <w:pPr>
        <w:pStyle w:val="Normal1"/>
        <w:numPr>
          <w:ilvl w:val="0"/>
          <w:numId w:val="4"/>
        </w:numPr>
        <w:tabs>
          <w:tab w:val="clear" w:pos="0"/>
          <w:tab w:val="num" w:pos="885"/>
        </w:tabs>
        <w:ind w:left="885" w:hanging="284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 первую очередь – издержки Займодавца по получению исполнения обязательств по Договору;</w:t>
      </w:r>
    </w:p>
    <w:p w:rsidR="00F84553" w:rsidRDefault="00F84553" w:rsidP="00F84553">
      <w:pPr>
        <w:pStyle w:val="Normal1"/>
        <w:numPr>
          <w:ilvl w:val="0"/>
          <w:numId w:val="4"/>
        </w:numPr>
        <w:tabs>
          <w:tab w:val="clear" w:pos="0"/>
          <w:tab w:val="num" w:pos="885"/>
        </w:tabs>
        <w:ind w:left="885" w:hanging="284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во вторую очередь – требование по уплате Просроченных платежей в счет уплаты процентов</w:t>
      </w:r>
      <w:r>
        <w:rPr>
          <w:rFonts w:asciiTheme="minorHAnsi" w:hAnsiTheme="minorHAnsi"/>
          <w:bCs/>
          <w:iCs/>
          <w:sz w:val="22"/>
          <w:szCs w:val="22"/>
        </w:rPr>
        <w:t>;</w:t>
      </w:r>
    </w:p>
    <w:p w:rsidR="00F84553" w:rsidRDefault="00F84553" w:rsidP="00F84553">
      <w:pPr>
        <w:pStyle w:val="Normal1"/>
        <w:numPr>
          <w:ilvl w:val="0"/>
          <w:numId w:val="4"/>
        </w:numPr>
        <w:tabs>
          <w:tab w:val="clear" w:pos="0"/>
          <w:tab w:val="num" w:pos="885"/>
        </w:tabs>
        <w:ind w:left="885" w:hanging="284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в третью очередь – требование по уплате процентов, начисленных на Просроченные платежи в счет возврата суммы займа;</w:t>
      </w:r>
    </w:p>
    <w:p w:rsidR="00F84553" w:rsidRDefault="00F84553" w:rsidP="00F84553">
      <w:pPr>
        <w:pStyle w:val="Normal1"/>
        <w:numPr>
          <w:ilvl w:val="0"/>
          <w:numId w:val="4"/>
        </w:numPr>
        <w:tabs>
          <w:tab w:val="clear" w:pos="0"/>
          <w:tab w:val="num" w:pos="885"/>
        </w:tabs>
        <w:ind w:left="885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 четвертую</w:t>
      </w:r>
      <w:r>
        <w:rPr>
          <w:rFonts w:asciiTheme="minorHAnsi" w:hAnsiTheme="minorHAnsi"/>
          <w:bCs/>
          <w:iCs/>
          <w:sz w:val="22"/>
          <w:szCs w:val="22"/>
        </w:rPr>
        <w:t xml:space="preserve"> о</w:t>
      </w:r>
      <w:r>
        <w:rPr>
          <w:rFonts w:asciiTheme="minorHAnsi" w:hAnsiTheme="minorHAnsi"/>
          <w:sz w:val="22"/>
          <w:szCs w:val="22"/>
        </w:rPr>
        <w:t xml:space="preserve">чередь – требование по уплате Просроченных </w:t>
      </w:r>
      <w:r>
        <w:rPr>
          <w:rFonts w:asciiTheme="minorHAnsi" w:hAnsiTheme="minorHAnsi"/>
          <w:bCs/>
          <w:iCs/>
          <w:sz w:val="22"/>
          <w:szCs w:val="22"/>
        </w:rPr>
        <w:t>платежей в счет возврата суммы займа</w:t>
      </w:r>
      <w:r>
        <w:rPr>
          <w:rFonts w:asciiTheme="minorHAnsi" w:hAnsiTheme="minorHAnsi"/>
          <w:sz w:val="22"/>
          <w:szCs w:val="22"/>
        </w:rPr>
        <w:t>;</w:t>
      </w:r>
    </w:p>
    <w:p w:rsidR="00F84553" w:rsidRDefault="00F84553" w:rsidP="00F84553">
      <w:pPr>
        <w:pStyle w:val="Normal1"/>
        <w:numPr>
          <w:ilvl w:val="0"/>
          <w:numId w:val="4"/>
        </w:numPr>
        <w:tabs>
          <w:tab w:val="clear" w:pos="0"/>
          <w:tab w:val="num" w:pos="885"/>
        </w:tabs>
        <w:ind w:left="885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 пятую очередь – требование по уплате плановых процентов;</w:t>
      </w:r>
    </w:p>
    <w:p w:rsidR="00F84553" w:rsidRDefault="00F84553" w:rsidP="00F84553">
      <w:pPr>
        <w:pStyle w:val="Normal1"/>
        <w:numPr>
          <w:ilvl w:val="0"/>
          <w:numId w:val="4"/>
        </w:numPr>
        <w:tabs>
          <w:tab w:val="clear" w:pos="0"/>
          <w:tab w:val="num" w:pos="885"/>
        </w:tabs>
        <w:ind w:left="885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 шестую очередь – требование по плановому возврату Остатка суммы займа;</w:t>
      </w:r>
    </w:p>
    <w:p w:rsidR="00F84553" w:rsidRDefault="00F84553" w:rsidP="00F84553">
      <w:pPr>
        <w:pStyle w:val="Normal1"/>
        <w:numPr>
          <w:ilvl w:val="0"/>
          <w:numId w:val="4"/>
        </w:numPr>
        <w:tabs>
          <w:tab w:val="clear" w:pos="0"/>
          <w:tab w:val="num" w:pos="885"/>
        </w:tabs>
        <w:ind w:left="885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 седьмую очередь – требование по уплате пеней за Просроченные платежи в счет уплаты процентов;</w:t>
      </w:r>
    </w:p>
    <w:p w:rsidR="00F84553" w:rsidRDefault="00F84553" w:rsidP="00F84553">
      <w:pPr>
        <w:pStyle w:val="Normal1"/>
        <w:numPr>
          <w:ilvl w:val="0"/>
          <w:numId w:val="4"/>
        </w:numPr>
        <w:tabs>
          <w:tab w:val="clear" w:pos="0"/>
          <w:tab w:val="num" w:pos="885"/>
        </w:tabs>
        <w:ind w:left="885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 восьмую очередь – требование по уплате пеней за Просроченные платежи в счет возврата суммы займа;</w:t>
      </w:r>
    </w:p>
    <w:p w:rsidR="00F84553" w:rsidRDefault="00F84553" w:rsidP="00F84553">
      <w:pPr>
        <w:pStyle w:val="Normal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В случае допущения Заемщиком просрочки в Последнем процентном периоде проценты за пользование займом начисляются по дату исполнения обязательств включительно в полном объеме </w:t>
      </w:r>
      <w:r>
        <w:rPr>
          <w:rFonts w:asciiTheme="minorHAnsi" w:hAnsiTheme="minorHAnsi"/>
          <w:bCs/>
          <w:sz w:val="22"/>
          <w:szCs w:val="22"/>
        </w:rPr>
        <w:t>либо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по дату вступления в силу соглашения Сторон о расторжении настоящего Договора в предусмотренных Договором случаях</w:t>
      </w:r>
      <w:r>
        <w:rPr>
          <w:rFonts w:asciiTheme="minorHAnsi" w:hAnsiTheme="minorHAnsi"/>
          <w:sz w:val="22"/>
          <w:szCs w:val="22"/>
        </w:rPr>
        <w:t xml:space="preserve"> (включительно)</w:t>
      </w:r>
      <w:r>
        <w:rPr>
          <w:rFonts w:asciiTheme="minorHAnsi" w:hAnsiTheme="minorHAnsi"/>
          <w:bCs/>
          <w:sz w:val="22"/>
          <w:szCs w:val="22"/>
        </w:rPr>
        <w:t xml:space="preserve"> в зависимости от того, какая из дат наступит раньше</w:t>
      </w:r>
      <w:r>
        <w:rPr>
          <w:rFonts w:asciiTheme="minorHAnsi" w:hAnsiTheme="minorHAnsi"/>
          <w:sz w:val="22"/>
          <w:szCs w:val="22"/>
        </w:rPr>
        <w:t>.</w:t>
      </w:r>
    </w:p>
    <w:p w:rsidR="00F84553" w:rsidRDefault="00F84553" w:rsidP="00F84553">
      <w:pPr>
        <w:pStyle w:val="Normal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Займодавец вправе потребовать полного досрочного исполнения обязательств по Договору путем предъявления письменного требования о полном досрочном возврате суммы займа, начисленных в соответствии с условиями Договора, но неуплаченных процентов и суммы неустойки (при наличии) в следующих случаях:</w:t>
      </w:r>
    </w:p>
    <w:p w:rsidR="00F84553" w:rsidRDefault="00F84553" w:rsidP="00F84553">
      <w:pPr>
        <w:numPr>
          <w:ilvl w:val="3"/>
          <w:numId w:val="5"/>
        </w:numPr>
        <w:tabs>
          <w:tab w:val="clear" w:pos="0"/>
          <w:tab w:val="num" w:pos="885"/>
        </w:tabs>
        <w:spacing w:after="0" w:line="240" w:lineRule="auto"/>
        <w:ind w:left="885" w:hanging="284"/>
        <w:jc w:val="both"/>
        <w:rPr>
          <w:rFonts w:asciiTheme="minorHAnsi" w:hAnsiTheme="minorHAnsi"/>
        </w:rPr>
      </w:pPr>
      <w:r>
        <w:t>при просрочке осуществления Заемщиком очередного Ежемесячного платежа на срок более чем 30 (тридцать) календарных дней;</w:t>
      </w:r>
    </w:p>
    <w:p w:rsidR="00F84553" w:rsidRDefault="00F84553" w:rsidP="00F84553">
      <w:pPr>
        <w:numPr>
          <w:ilvl w:val="3"/>
          <w:numId w:val="5"/>
        </w:numPr>
        <w:tabs>
          <w:tab w:val="clear" w:pos="0"/>
          <w:tab w:val="num" w:pos="885"/>
        </w:tabs>
        <w:spacing w:after="0" w:line="240" w:lineRule="auto"/>
        <w:ind w:left="885" w:hanging="284"/>
        <w:jc w:val="both"/>
      </w:pPr>
      <w:r>
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незначительна;</w:t>
      </w:r>
    </w:p>
    <w:p w:rsidR="00F84553" w:rsidRDefault="00F84553" w:rsidP="00F84553">
      <w:pPr>
        <w:numPr>
          <w:ilvl w:val="3"/>
          <w:numId w:val="5"/>
        </w:numPr>
        <w:tabs>
          <w:tab w:val="clear" w:pos="0"/>
          <w:tab w:val="num" w:pos="885"/>
        </w:tabs>
        <w:spacing w:after="0" w:line="240" w:lineRule="auto"/>
        <w:ind w:left="885" w:hanging="284"/>
        <w:jc w:val="both"/>
      </w:pPr>
      <w:r>
        <w:t>в случае полной или частичной утраты, или повреждения Предмета ипотеки;</w:t>
      </w:r>
    </w:p>
    <w:p w:rsidR="00F84553" w:rsidRDefault="00F84553" w:rsidP="00F84553">
      <w:pPr>
        <w:numPr>
          <w:ilvl w:val="3"/>
          <w:numId w:val="5"/>
        </w:numPr>
        <w:tabs>
          <w:tab w:val="clear" w:pos="0"/>
          <w:tab w:val="num" w:pos="885"/>
        </w:tabs>
        <w:spacing w:after="0" w:line="240" w:lineRule="auto"/>
        <w:ind w:left="885" w:hanging="284"/>
        <w:jc w:val="both"/>
      </w:pPr>
      <w:r>
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</w:r>
    </w:p>
    <w:p w:rsidR="00F84553" w:rsidRDefault="00F84553" w:rsidP="00F84553">
      <w:pPr>
        <w:numPr>
          <w:ilvl w:val="3"/>
          <w:numId w:val="5"/>
        </w:numPr>
        <w:tabs>
          <w:tab w:val="clear" w:pos="0"/>
          <w:tab w:val="num" w:pos="885"/>
        </w:tabs>
        <w:spacing w:after="0" w:line="240" w:lineRule="auto"/>
        <w:ind w:left="885" w:hanging="284"/>
        <w:jc w:val="both"/>
      </w:pPr>
      <w:r>
        <w:t>при необоснованном отказе Займодавцу в проверке Предмета ипотеки;</w:t>
      </w:r>
    </w:p>
    <w:p w:rsidR="00F84553" w:rsidRDefault="00F84553" w:rsidP="00F84553">
      <w:pPr>
        <w:numPr>
          <w:ilvl w:val="3"/>
          <w:numId w:val="5"/>
        </w:numPr>
        <w:tabs>
          <w:tab w:val="clear" w:pos="0"/>
          <w:tab w:val="num" w:pos="885"/>
        </w:tabs>
        <w:spacing w:after="0" w:line="240" w:lineRule="auto"/>
        <w:ind w:left="885" w:hanging="284"/>
        <w:jc w:val="both"/>
      </w:pPr>
      <w:r>
        <w:t>при обнаружении незаявленных обременений на Предмета ипотеки;</w:t>
      </w:r>
    </w:p>
    <w:p w:rsidR="00F84553" w:rsidRDefault="00F84553" w:rsidP="00F84553">
      <w:pPr>
        <w:numPr>
          <w:ilvl w:val="3"/>
          <w:numId w:val="5"/>
        </w:numPr>
        <w:tabs>
          <w:tab w:val="clear" w:pos="0"/>
          <w:tab w:val="num" w:pos="885"/>
        </w:tabs>
        <w:spacing w:after="0" w:line="240" w:lineRule="auto"/>
        <w:ind w:left="885" w:hanging="284"/>
        <w:jc w:val="both"/>
      </w:pPr>
      <w:r>
        <w:t>при неисполнении или ненадлежащем исполнении Заемщиком обязательств по Имущественному страхованию, предусмотренных Разделом 1 Договора;</w:t>
      </w:r>
    </w:p>
    <w:p w:rsidR="00F84553" w:rsidRDefault="00F84553" w:rsidP="00F84553">
      <w:pPr>
        <w:numPr>
          <w:ilvl w:val="3"/>
          <w:numId w:val="5"/>
        </w:numPr>
        <w:tabs>
          <w:tab w:val="clear" w:pos="0"/>
          <w:tab w:val="num" w:pos="885"/>
        </w:tabs>
        <w:spacing w:after="0" w:line="240" w:lineRule="auto"/>
        <w:ind w:left="885" w:hanging="284"/>
        <w:jc w:val="both"/>
      </w:pPr>
      <w:r>
        <w:t>в других случаях, предусмотренных действующим законодательством РФ.</w:t>
      </w:r>
    </w:p>
    <w:p w:rsidR="00F84553" w:rsidRDefault="00F84553" w:rsidP="00F84553">
      <w:pPr>
        <w:pStyle w:val="ac"/>
        <w:tabs>
          <w:tab w:val="left" w:pos="885"/>
        </w:tabs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  <w:b/>
        </w:rPr>
        <w:t>При нарушении сроков возврата займа</w:t>
      </w:r>
      <w:r>
        <w:rPr>
          <w:rFonts w:cs="Times New Roman"/>
        </w:rPr>
        <w:t xml:space="preserve"> Заемщик уплачивает по требованию Займодавца неустойку в виде пеней в размере 0,1% (ноля целых одной десятой процента) от суммы Просроченного платежа по исполнению обязательств по возврату суммы займа за каждый календарный день просрочки до даты поступления Просроченного платежа на счет Займодавца (включительно).</w:t>
      </w:r>
    </w:p>
    <w:p w:rsidR="00F84553" w:rsidRDefault="00F84553" w:rsidP="00F84553">
      <w:pPr>
        <w:pStyle w:val="ac"/>
        <w:tabs>
          <w:tab w:val="left" w:pos="885"/>
        </w:tabs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  <w:b/>
        </w:rPr>
        <w:t>При нарушении сроков уплаты, начисленных за пользование займом процентов</w:t>
      </w:r>
      <w:r>
        <w:rPr>
          <w:rFonts w:cs="Times New Roman"/>
        </w:rPr>
        <w:t xml:space="preserve"> Заемщик   уплачивает по требованию Займодавца неустойку в виде пеней в размере 0,1% (ноля целых одной десятой процента) от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счет Займодавца (включительно).</w:t>
      </w:r>
    </w:p>
    <w:p w:rsidR="00F84553" w:rsidRDefault="00F84553" w:rsidP="00F84553">
      <w:pPr>
        <w:pStyle w:val="Normal1"/>
        <w:jc w:val="both"/>
        <w:rPr>
          <w:rFonts w:asciiTheme="minorHAnsi" w:hAnsiTheme="minorHAnsi"/>
          <w:sz w:val="22"/>
          <w:szCs w:val="22"/>
        </w:rPr>
      </w:pPr>
    </w:p>
    <w:p w:rsidR="00F84553" w:rsidRDefault="00F84553" w:rsidP="00F84553">
      <w:pPr>
        <w:pStyle w:val="Normal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16</w:t>
      </w:r>
      <w:r>
        <w:rPr>
          <w:rFonts w:asciiTheme="minorHAnsi" w:hAnsiTheme="minorHAnsi"/>
          <w:sz w:val="22"/>
          <w:szCs w:val="22"/>
        </w:rPr>
        <w:t>.  Информация об иных договорах, которые заемщик обязан заключить, и (или) иных услугах, которые он обязан получить в связи с договором потребительского займа, а также информация о возможности заемщика согласиться с заключением таких договоров и (или) оказанием таких услуг либо отказаться от них:</w:t>
      </w:r>
    </w:p>
    <w:p w:rsidR="00F84553" w:rsidRDefault="00F84553" w:rsidP="00F84553">
      <w:pPr>
        <w:pStyle w:val="Normal1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Договор страхование (личное) – по желанию. В случае отказа заемщика от личного страхования, процентная ставка по займу увеличивается на 0,7 процентных пунктов</w:t>
      </w:r>
    </w:p>
    <w:p w:rsidR="00F84553" w:rsidRDefault="00F84553" w:rsidP="00F84553">
      <w:pPr>
        <w:pStyle w:val="Normal1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Договор страхования (имущество) – обязательное.</w:t>
      </w:r>
    </w:p>
    <w:p w:rsidR="00F84553" w:rsidRDefault="00F84553" w:rsidP="00F84553">
      <w:pPr>
        <w:pStyle w:val="Normal1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Договора страхование (титул) – по желанию.</w:t>
      </w:r>
    </w:p>
    <w:p w:rsidR="00F84553" w:rsidRDefault="00F84553" w:rsidP="00F84553">
      <w:pPr>
        <w:pStyle w:val="Normal1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Аренда индивидуальной сейфовой ячейки – по желанию (оплачивается по тарифам банка)</w:t>
      </w:r>
    </w:p>
    <w:p w:rsidR="00F84553" w:rsidRDefault="00F84553" w:rsidP="00F84553">
      <w:pPr>
        <w:pStyle w:val="Normal1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Открытие аккредитива - по желанию (оплачивается по тарифам банка)</w:t>
      </w:r>
    </w:p>
    <w:p w:rsidR="00F84553" w:rsidRDefault="00F84553" w:rsidP="00F84553">
      <w:pPr>
        <w:pStyle w:val="Normal1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Выпуск и обслуживание электронного средства платежа – оплачивается по тарифам банка</w:t>
      </w:r>
    </w:p>
    <w:p w:rsidR="00F84553" w:rsidRDefault="00F84553" w:rsidP="00F84553">
      <w:pPr>
        <w:pStyle w:val="Normal1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Проведение оценки рыночной стоимости недвижимости – обязательно (оплачивается по тарифам оценочной компании)</w:t>
      </w:r>
    </w:p>
    <w:p w:rsidR="00F84553" w:rsidRDefault="00F84553" w:rsidP="00F84553">
      <w:pPr>
        <w:pStyle w:val="Normal1"/>
        <w:jc w:val="both"/>
        <w:rPr>
          <w:rFonts w:asciiTheme="minorHAnsi" w:hAnsiTheme="minorHAnsi"/>
          <w:sz w:val="22"/>
          <w:szCs w:val="22"/>
        </w:rPr>
      </w:pPr>
    </w:p>
    <w:p w:rsidR="00F84553" w:rsidRDefault="00F84553" w:rsidP="00F84553">
      <w:pPr>
        <w:pStyle w:val="Normal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17.</w:t>
      </w:r>
      <w:r>
        <w:rPr>
          <w:rFonts w:asciiTheme="minorHAnsi" w:hAnsiTheme="minorHAnsi"/>
          <w:sz w:val="22"/>
          <w:szCs w:val="22"/>
        </w:rPr>
        <w:t xml:space="preserve"> 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 (для потребительских займов в иностранной валюте): не применимо</w:t>
      </w:r>
    </w:p>
    <w:p w:rsidR="00F84553" w:rsidRDefault="00F84553" w:rsidP="00F84553">
      <w:pPr>
        <w:pStyle w:val="Normal1"/>
        <w:jc w:val="both"/>
        <w:rPr>
          <w:rFonts w:asciiTheme="minorHAnsi" w:hAnsiTheme="minorHAnsi"/>
          <w:sz w:val="22"/>
          <w:szCs w:val="22"/>
        </w:rPr>
      </w:pPr>
    </w:p>
    <w:p w:rsidR="00F84553" w:rsidRDefault="00F84553" w:rsidP="00F84553">
      <w:pPr>
        <w:pStyle w:val="Normal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18.</w:t>
      </w:r>
      <w:r>
        <w:rPr>
          <w:rFonts w:asciiTheme="minorHAnsi" w:hAnsiTheme="minorHAnsi"/>
          <w:sz w:val="22"/>
          <w:szCs w:val="22"/>
        </w:rPr>
        <w:t xml:space="preserve"> 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потребительского займа, может отличаться от валюты потребительского займа: не применимо</w:t>
      </w:r>
    </w:p>
    <w:p w:rsidR="00F84553" w:rsidRDefault="00F84553" w:rsidP="00F84553">
      <w:pPr>
        <w:pStyle w:val="Normal1"/>
        <w:jc w:val="both"/>
        <w:rPr>
          <w:rFonts w:asciiTheme="minorHAnsi" w:hAnsiTheme="minorHAnsi"/>
          <w:sz w:val="22"/>
          <w:szCs w:val="22"/>
        </w:rPr>
      </w:pPr>
    </w:p>
    <w:p w:rsidR="00F84553" w:rsidRDefault="00F84553" w:rsidP="00F84553">
      <w:pPr>
        <w:pStyle w:val="Normal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19.</w:t>
      </w:r>
      <w:r>
        <w:rPr>
          <w:rFonts w:asciiTheme="minorHAnsi" w:hAnsiTheme="minorHAnsi"/>
          <w:sz w:val="22"/>
          <w:szCs w:val="22"/>
        </w:rPr>
        <w:t xml:space="preserve"> Информация о возможности запрета уступки кредитором третьим лицам прав (требований) по договору потребительского займа: Возможность уступки прав кредитора по договору потребительского займа может ограничена советующим условием, содержащимся в договоре потребительского займа.</w:t>
      </w:r>
    </w:p>
    <w:p w:rsidR="00F84553" w:rsidRDefault="00F84553" w:rsidP="00F84553">
      <w:pPr>
        <w:pStyle w:val="Normal1"/>
        <w:jc w:val="both"/>
        <w:rPr>
          <w:rFonts w:asciiTheme="minorHAnsi" w:hAnsiTheme="minorHAnsi"/>
          <w:b/>
          <w:sz w:val="22"/>
          <w:szCs w:val="22"/>
        </w:rPr>
      </w:pPr>
    </w:p>
    <w:p w:rsidR="00F84553" w:rsidRDefault="00F84553" w:rsidP="00F84553">
      <w:pPr>
        <w:pStyle w:val="Normal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20. </w:t>
      </w:r>
      <w:r>
        <w:rPr>
          <w:rFonts w:asciiTheme="minorHAnsi" w:hAnsiTheme="minorHAnsi"/>
          <w:sz w:val="22"/>
          <w:szCs w:val="22"/>
        </w:rPr>
        <w:t>Порядок предоставления заемщиком информации об использовании потребительского займа (при включении в договор потребительского займа условия об использовании заемщиком полученного потребительского займа на определенные цели): покупка жилой недвижимости подтверждается договором купли-продажи, договором долевого участия или уступкой прав требований по договору долевого участия.</w:t>
      </w:r>
    </w:p>
    <w:p w:rsidR="00F84553" w:rsidRDefault="00F84553" w:rsidP="00F84553">
      <w:pPr>
        <w:pStyle w:val="Normal1"/>
        <w:jc w:val="both"/>
        <w:rPr>
          <w:rFonts w:asciiTheme="minorHAnsi" w:hAnsiTheme="minorHAnsi"/>
          <w:sz w:val="22"/>
          <w:szCs w:val="22"/>
        </w:rPr>
      </w:pPr>
    </w:p>
    <w:p w:rsidR="00F84553" w:rsidRDefault="00F84553" w:rsidP="00F84553">
      <w:pPr>
        <w:pStyle w:val="Normal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21.</w:t>
      </w:r>
      <w:r>
        <w:rPr>
          <w:rFonts w:asciiTheme="minorHAnsi" w:hAnsiTheme="minorHAnsi"/>
          <w:sz w:val="22"/>
          <w:szCs w:val="22"/>
        </w:rPr>
        <w:t xml:space="preserve"> Подсудность споров по искам кредитора к заемщику. При возникновении споров между Займодавцем и Заемщиком по вопросам исполнения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 Стороны пришли к соглашению о том, что споры по иску Займодавца об обращении взыскания на Предмет ипотеки подлежат рассмотрению судом по месту нахождения Предмета ипотеки.</w:t>
      </w:r>
    </w:p>
    <w:p w:rsidR="00F84553" w:rsidRDefault="00F84553" w:rsidP="00F84553">
      <w:pPr>
        <w:pStyle w:val="Normal1"/>
        <w:jc w:val="both"/>
        <w:rPr>
          <w:rFonts w:asciiTheme="minorHAnsi" w:hAnsiTheme="minorHAnsi"/>
          <w:sz w:val="22"/>
          <w:szCs w:val="22"/>
        </w:rPr>
      </w:pPr>
    </w:p>
    <w:p w:rsidR="00F84553" w:rsidRDefault="00F84553" w:rsidP="00F84553">
      <w:pPr>
        <w:pStyle w:val="Normal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22.</w:t>
      </w:r>
      <w:r>
        <w:rPr>
          <w:rFonts w:asciiTheme="minorHAnsi" w:hAnsiTheme="minorHAnsi"/>
          <w:sz w:val="22"/>
          <w:szCs w:val="22"/>
        </w:rPr>
        <w:t xml:space="preserve"> Формуляры или иные стандартные формы, в которых определены общие условия договора потребительского займа: договоры заключаются по стандартным формам, размещенным на сайте АИЖК: </w:t>
      </w:r>
      <w:hyperlink r:id="rId9" w:history="1">
        <w:r>
          <w:rPr>
            <w:rStyle w:val="a3"/>
            <w:rFonts w:asciiTheme="minorHAnsi" w:hAnsiTheme="minorHAnsi"/>
            <w:sz w:val="22"/>
            <w:szCs w:val="22"/>
          </w:rPr>
          <w:t>http://www.ahml.ru/ru/participants/prodacts/standart/typish_docs/</w:t>
        </w:r>
      </w:hyperlink>
      <w:r>
        <w:t xml:space="preserve"> </w:t>
      </w:r>
      <w:r>
        <w:rPr>
          <w:rFonts w:asciiTheme="minorHAnsi" w:hAnsiTheme="minorHAnsi"/>
          <w:sz w:val="22"/>
          <w:szCs w:val="22"/>
        </w:rPr>
        <w:t>(за исключением продукта ДВИЦ МСК).</w:t>
      </w:r>
    </w:p>
    <w:p w:rsidR="002D1F65" w:rsidRDefault="002D1F65">
      <w:pPr>
        <w:spacing w:after="0" w:line="240" w:lineRule="auto"/>
      </w:pPr>
    </w:p>
    <w:p w:rsidR="002D1F65" w:rsidRDefault="002D1F65">
      <w:pPr>
        <w:rPr>
          <w:sz w:val="16"/>
          <w:szCs w:val="16"/>
        </w:rPr>
      </w:pPr>
    </w:p>
    <w:p w:rsidR="00BC36CB" w:rsidRDefault="00BC36CB">
      <w:pPr>
        <w:rPr>
          <w:sz w:val="16"/>
          <w:szCs w:val="16"/>
        </w:rPr>
      </w:pPr>
      <w:bookmarkStart w:id="0" w:name="_GoBack"/>
      <w:bookmarkEnd w:id="0"/>
    </w:p>
    <w:sectPr w:rsidR="00BC36CB"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4A1" w:rsidRDefault="00C154A1">
      <w:pPr>
        <w:spacing w:after="0" w:line="240" w:lineRule="auto"/>
      </w:pPr>
      <w:r>
        <w:separator/>
      </w:r>
    </w:p>
  </w:endnote>
  <w:endnote w:type="continuationSeparator" w:id="0">
    <w:p w:rsidR="00C154A1" w:rsidRDefault="00C1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53" w:rsidRDefault="00F84553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6985</wp:posOffset>
          </wp:positionV>
          <wp:extent cx="5940425" cy="476250"/>
          <wp:effectExtent l="19050" t="0" r="3175" b="0"/>
          <wp:wrapNone/>
          <wp:docPr id="3" name="Рисунок 8" descr="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image0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53" w:rsidRDefault="00F84553">
    <w:pPr>
      <w:pStyle w:val="a7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5715</wp:posOffset>
          </wp:positionV>
          <wp:extent cx="5940425" cy="476250"/>
          <wp:effectExtent l="19050" t="0" r="3175" b="0"/>
          <wp:wrapNone/>
          <wp:docPr id="2" name="Рисунок 7" descr="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image0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4A1" w:rsidRDefault="00C154A1">
      <w:pPr>
        <w:spacing w:after="0" w:line="240" w:lineRule="auto"/>
      </w:pPr>
      <w:r>
        <w:separator/>
      </w:r>
    </w:p>
  </w:footnote>
  <w:footnote w:type="continuationSeparator" w:id="0">
    <w:p w:rsidR="00C154A1" w:rsidRDefault="00C1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53" w:rsidRDefault="00F84553">
    <w:pPr>
      <w:pStyle w:val="a5"/>
    </w:pPr>
    <w:r>
      <w:rPr>
        <w:noProof/>
        <w:lang w:eastAsia="ru-RU"/>
      </w:rPr>
      <w:drawing>
        <wp:inline distT="0" distB="0" distL="0" distR="0">
          <wp:extent cx="5943600" cy="730250"/>
          <wp:effectExtent l="19050" t="0" r="0" b="0"/>
          <wp:docPr id="1" name="Рисунок 3" descr="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image0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D8C"/>
    <w:multiLevelType w:val="hybridMultilevel"/>
    <w:tmpl w:val="A916609A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A4F0D"/>
    <w:multiLevelType w:val="multilevel"/>
    <w:tmpl w:val="A6208CB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b/>
        <w:color w:val="000000"/>
        <w:sz w:val="22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197ED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99183E"/>
    <w:multiLevelType w:val="multilevel"/>
    <w:tmpl w:val="073A87C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9395C9D"/>
    <w:multiLevelType w:val="hybridMultilevel"/>
    <w:tmpl w:val="771002E8"/>
    <w:lvl w:ilvl="0" w:tplc="F118EEEA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31"/>
    <w:rsid w:val="00266F4C"/>
    <w:rsid w:val="002D1F65"/>
    <w:rsid w:val="00314E18"/>
    <w:rsid w:val="003F75ED"/>
    <w:rsid w:val="009A1831"/>
    <w:rsid w:val="00BC36CB"/>
    <w:rsid w:val="00BC7331"/>
    <w:rsid w:val="00BF59C1"/>
    <w:rsid w:val="00C154A1"/>
    <w:rsid w:val="00F8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6A8CF3-D6FF-433F-A8A4-33600EBD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spacing w:before="12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/>
      <w:bCs/>
      <w:i/>
      <w:iCs/>
      <w:sz w:val="26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="Times New Roman" w:eastAsia="Times New Roman" w:hAnsi="Times New Roman" w:cs="Arial" w:hint="default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locked/>
    <w:rPr>
      <w:rFonts w:ascii="Times New Roman" w:eastAsia="Times New Roman" w:hAnsi="Times New Roman" w:cs="Arial" w:hint="default"/>
      <w:b/>
      <w:bCs/>
      <w:i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locked/>
    <w:rPr>
      <w:rFonts w:ascii="Arial" w:eastAsia="Times New Roman" w:hAnsi="Arial" w:cs="Arial" w:hint="default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locked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locked/>
    <w:rPr>
      <w:rFonts w:ascii="Times New Roman" w:eastAsia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locked/>
    <w:rPr>
      <w:rFonts w:ascii="Times New Roman" w:eastAsia="Times New Roman" w:hAnsi="Times New Roman" w:cs="Times New Roman" w:hint="default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locked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locked/>
    <w:rPr>
      <w:rFonts w:ascii="Times New Roman" w:eastAsia="Times New Roman" w:hAnsi="Times New Roman" w:cs="Times New Roman" w:hint="default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locked/>
    <w:rPr>
      <w:rFonts w:ascii="Arial" w:eastAsia="Times New Roman" w:hAnsi="Arial" w:cs="Arial" w:hint="default"/>
      <w:lang w:eastAsia="ru-RU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</w:style>
  <w:style w:type="paragraph" w:styleId="a9">
    <w:name w:val="caption"/>
    <w:basedOn w:val="a"/>
    <w:next w:val="a"/>
    <w:semiHidden/>
    <w:unhideWhenUsed/>
    <w:qFormat/>
    <w:pPr>
      <w:keepNext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eastAsia="Calibri" w:hAnsi="Segoe UI" w:cs="Segoe UI" w:hint="default"/>
      <w:sz w:val="18"/>
      <w:szCs w:val="18"/>
    </w:rPr>
  </w:style>
  <w:style w:type="paragraph" w:styleId="ac">
    <w:name w:val="List Paragraph"/>
    <w:basedOn w:val="a"/>
    <w:uiPriority w:val="34"/>
    <w:qFormat/>
    <w:rsid w:val="00F8455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1">
    <w:name w:val="Normal1"/>
    <w:rsid w:val="00F84553"/>
    <w:rPr>
      <w:rFonts w:ascii="Times New Roman" w:eastAsia="Times New Roman" w:hAnsi="Times New Roman" w:cs="Times New Roman"/>
      <w:lang w:eastAsia="ru-RU"/>
    </w:rPr>
  </w:style>
  <w:style w:type="table" w:styleId="-56">
    <w:name w:val="Grid Table 5 Dark Accent 6"/>
    <w:basedOn w:val="a1"/>
    <w:uiPriority w:val="50"/>
    <w:rsid w:val="00F84553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ad">
    <w:name w:val="Table Grid"/>
    <w:basedOn w:val="a1"/>
    <w:uiPriority w:val="39"/>
    <w:rsid w:val="0026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i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hml.ru/ru/participants/prodacts/standart/typish_doc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8E9B-1192-49E0-8CC3-FC7C4541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Горобец</dc:creator>
  <cp:lastModifiedBy>Зоя Царикова</cp:lastModifiedBy>
  <cp:revision>4</cp:revision>
  <cp:lastPrinted>2015-01-28T10:57:00Z</cp:lastPrinted>
  <dcterms:created xsi:type="dcterms:W3CDTF">2015-01-28T11:36:00Z</dcterms:created>
  <dcterms:modified xsi:type="dcterms:W3CDTF">2015-06-16T08:59:00Z</dcterms:modified>
</cp:coreProperties>
</file>